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031" w:type="dxa"/>
        <w:tblLook w:val="04A0" w:firstRow="1" w:lastRow="0" w:firstColumn="1" w:lastColumn="0" w:noHBand="0" w:noVBand="1"/>
      </w:tblPr>
      <w:tblGrid>
        <w:gridCol w:w="4928"/>
        <w:gridCol w:w="5103"/>
      </w:tblGrid>
      <w:tr w:rsidR="00821D24" w:rsidRPr="00802EA6" w14:paraId="2DCD53EB" w14:textId="77777777" w:rsidTr="000B5CFB">
        <w:tc>
          <w:tcPr>
            <w:tcW w:w="4928" w:type="dxa"/>
          </w:tcPr>
          <w:p w14:paraId="50F9B8E7" w14:textId="77777777" w:rsidR="00821D24" w:rsidRPr="00802EA6" w:rsidRDefault="00821D24" w:rsidP="00B36D85">
            <w:r w:rsidRPr="00802EA6">
              <w:t xml:space="preserve">Commentaire romand - </w:t>
            </w:r>
          </w:p>
          <w:p w14:paraId="173750A9" w14:textId="77777777" w:rsidR="000B5CFB" w:rsidRPr="00802EA6" w:rsidRDefault="00821D24" w:rsidP="00B36D85">
            <w:r w:rsidRPr="00802EA6">
              <w:rPr>
                <w:i/>
              </w:rPr>
              <w:t>Loi sur le droit international privé</w:t>
            </w:r>
            <w:r w:rsidR="000B5CFB" w:rsidRPr="00802EA6">
              <w:t>,</w:t>
            </w:r>
          </w:p>
          <w:p w14:paraId="401E1599" w14:textId="77777777" w:rsidR="00821D24" w:rsidRPr="00802EA6" w:rsidRDefault="000B5CFB" w:rsidP="00B36D85">
            <w:r w:rsidRPr="00802EA6">
              <w:t>Convention de Lugano</w:t>
            </w:r>
          </w:p>
          <w:p w14:paraId="5D2F5CE1" w14:textId="1ED5E9E3" w:rsidR="00821D24" w:rsidRPr="00802EA6" w:rsidRDefault="00553BD5" w:rsidP="00B36D85">
            <w:r w:rsidRPr="00553BD5">
              <w:t>2</w:t>
            </w:r>
            <w:r w:rsidRPr="00553BD5">
              <w:rPr>
                <w:vertAlign w:val="superscript"/>
              </w:rPr>
              <w:t>e</w:t>
            </w:r>
            <w:r w:rsidRPr="00553BD5">
              <w:t xml:space="preserve"> éd. 2025</w:t>
            </w:r>
          </w:p>
        </w:tc>
        <w:tc>
          <w:tcPr>
            <w:tcW w:w="5103" w:type="dxa"/>
          </w:tcPr>
          <w:p w14:paraId="7D0B1CD2" w14:textId="77777777" w:rsidR="00821D24" w:rsidRPr="00802EA6" w:rsidRDefault="00821D24" w:rsidP="00B36D85">
            <w:pPr>
              <w:jc w:val="right"/>
            </w:pPr>
            <w:r w:rsidRPr="00802EA6">
              <w:rPr>
                <w:b/>
              </w:rPr>
              <w:t>Mise à jour</w:t>
            </w:r>
          </w:p>
          <w:p w14:paraId="2E5D9283" w14:textId="77777777" w:rsidR="00821D24" w:rsidRPr="00802EA6" w:rsidRDefault="00821D24" w:rsidP="00B36D85">
            <w:pPr>
              <w:jc w:val="right"/>
            </w:pPr>
            <w:r w:rsidRPr="00802EA6">
              <w:t>Andreas Bucher</w:t>
            </w:r>
          </w:p>
          <w:p w14:paraId="56CA668F" w14:textId="34136A8C" w:rsidR="00821D24" w:rsidRPr="00802EA6" w:rsidRDefault="00881462" w:rsidP="001E66F4">
            <w:pPr>
              <w:jc w:val="right"/>
            </w:pPr>
            <w:r>
              <w:t>__</w:t>
            </w:r>
            <w:r w:rsidR="00821D24" w:rsidRPr="00802EA6">
              <w:t>.</w:t>
            </w:r>
            <w:r w:rsidR="005B68DD">
              <w:t>9</w:t>
            </w:r>
            <w:r w:rsidR="00F2674E">
              <w:t>.</w:t>
            </w:r>
            <w:r w:rsidR="00821D24" w:rsidRPr="00802EA6">
              <w:t>20</w:t>
            </w:r>
            <w:r w:rsidR="00B858A3">
              <w:t>2</w:t>
            </w:r>
            <w:r w:rsidR="001B0A9C">
              <w:t>6</w:t>
            </w:r>
          </w:p>
        </w:tc>
      </w:tr>
    </w:tbl>
    <w:p w14:paraId="39191B4A" w14:textId="77777777" w:rsidR="000F736E" w:rsidRPr="00802EA6" w:rsidRDefault="000F736E"/>
    <w:tbl>
      <w:tblPr>
        <w:tblStyle w:val="Grilledutableau"/>
        <w:tblW w:w="10031" w:type="dxa"/>
        <w:tblLook w:val="04A0" w:firstRow="1" w:lastRow="0" w:firstColumn="1" w:lastColumn="0" w:noHBand="0" w:noVBand="1"/>
      </w:tblPr>
      <w:tblGrid>
        <w:gridCol w:w="10031"/>
      </w:tblGrid>
      <w:tr w:rsidR="00821D24" w:rsidRPr="00802EA6" w14:paraId="16C4305B" w14:textId="77777777" w:rsidTr="00836552">
        <w:tc>
          <w:tcPr>
            <w:tcW w:w="10031" w:type="dxa"/>
          </w:tcPr>
          <w:p w14:paraId="1338B336" w14:textId="77777777" w:rsidR="00821D24" w:rsidRPr="00802EA6" w:rsidRDefault="00821D24"/>
          <w:p w14:paraId="013FE37B" w14:textId="77777777" w:rsidR="00821D24" w:rsidRPr="00802EA6" w:rsidRDefault="00821D24" w:rsidP="00821D24">
            <w:pPr>
              <w:jc w:val="center"/>
            </w:pPr>
            <w:r w:rsidRPr="00802EA6">
              <w:rPr>
                <w:b/>
              </w:rPr>
              <w:t>Bibliographie générale</w:t>
            </w:r>
            <w:r w:rsidR="00D37F1A">
              <w:rPr>
                <w:b/>
              </w:rPr>
              <w:t xml:space="preserve">  -  LDIP</w:t>
            </w:r>
          </w:p>
          <w:p w14:paraId="0B069664" w14:textId="77777777" w:rsidR="00821D24" w:rsidRPr="00802EA6" w:rsidRDefault="00821D24"/>
        </w:tc>
      </w:tr>
      <w:tr w:rsidR="00821D24" w:rsidRPr="009E4413" w14:paraId="453DFD0F" w14:textId="77777777" w:rsidTr="00836552">
        <w:tc>
          <w:tcPr>
            <w:tcW w:w="10031" w:type="dxa"/>
          </w:tcPr>
          <w:p w14:paraId="7F7FD09C" w14:textId="77777777" w:rsidR="00553D28" w:rsidRPr="00802EA6" w:rsidRDefault="00553D28" w:rsidP="008E1EB6">
            <w:pPr>
              <w:jc w:val="both"/>
              <w:rPr>
                <w:i/>
              </w:rPr>
            </w:pPr>
          </w:p>
          <w:p w14:paraId="6572E60C" w14:textId="77777777" w:rsidR="00821D24" w:rsidRPr="00802EA6" w:rsidRDefault="00821D24" w:rsidP="008E1EB6">
            <w:pPr>
              <w:jc w:val="both"/>
              <w:rPr>
                <w:i/>
              </w:rPr>
            </w:pPr>
            <w:r w:rsidRPr="00802EA6">
              <w:rPr>
                <w:i/>
              </w:rPr>
              <w:t>Loi fédérale sur le droit international privé (LDIP)</w:t>
            </w:r>
            <w:r w:rsidR="008F0DBD" w:rsidRPr="00802EA6">
              <w:rPr>
                <w:i/>
              </w:rPr>
              <w:t> </w:t>
            </w:r>
            <w:r w:rsidRPr="00802EA6">
              <w:rPr>
                <w:i/>
              </w:rPr>
              <w:t>:</w:t>
            </w:r>
          </w:p>
          <w:p w14:paraId="03F035DA" w14:textId="6300AFD8" w:rsidR="00821D24" w:rsidRPr="005B68DD" w:rsidRDefault="00821D24" w:rsidP="008E1EB6">
            <w:pPr>
              <w:jc w:val="both"/>
              <w:rPr>
                <w:sz w:val="18"/>
                <w:szCs w:val="18"/>
                <w:lang w:val="de-CH"/>
              </w:rPr>
            </w:pPr>
            <w:r w:rsidRPr="005B68DD">
              <w:rPr>
                <w:i/>
                <w:sz w:val="18"/>
                <w:szCs w:val="18"/>
                <w:lang w:val="de-CH"/>
              </w:rPr>
              <w:t>Sources principales</w:t>
            </w:r>
            <w:r w:rsidR="00E1673A" w:rsidRPr="005B68DD">
              <w:rPr>
                <w:i/>
                <w:sz w:val="18"/>
                <w:szCs w:val="18"/>
                <w:lang w:val="de-CH"/>
              </w:rPr>
              <w:t> :</w:t>
            </w:r>
            <w:r w:rsidR="00E1673A" w:rsidRPr="005B68DD">
              <w:rPr>
                <w:sz w:val="18"/>
                <w:szCs w:val="18"/>
                <w:lang w:val="de-CH"/>
              </w:rPr>
              <w:t xml:space="preserve"> </w:t>
            </w:r>
            <w:r w:rsidR="005B68DD" w:rsidRPr="005B68DD">
              <w:rPr>
                <w:smallCaps/>
                <w:sz w:val="18"/>
                <w:szCs w:val="18"/>
                <w:lang w:val="de-CH"/>
              </w:rPr>
              <w:t>Jolanda Kren-Kostkiewicz</w:t>
            </w:r>
            <w:r w:rsidR="005B68DD" w:rsidRPr="005B68DD">
              <w:rPr>
                <w:sz w:val="18"/>
                <w:szCs w:val="18"/>
                <w:lang w:val="de-CH"/>
              </w:rPr>
              <w:t>, Bundesgesetz</w:t>
            </w:r>
            <w:r w:rsidR="005B68DD">
              <w:rPr>
                <w:sz w:val="18"/>
                <w:szCs w:val="18"/>
                <w:lang w:val="de-CH"/>
              </w:rPr>
              <w:t xml:space="preserve"> über das Internationale Privatrecht, Lugano-Übereinkommen und weitere Erlasse, 3e éd. Zurich 2026</w:t>
            </w:r>
          </w:p>
          <w:p w14:paraId="40E121EE" w14:textId="5BB12A71" w:rsidR="00EB750E" w:rsidRPr="00205653" w:rsidRDefault="00821D24" w:rsidP="009E4413">
            <w:pPr>
              <w:jc w:val="both"/>
              <w:rPr>
                <w:sz w:val="18"/>
                <w:szCs w:val="18"/>
              </w:rPr>
            </w:pPr>
            <w:r w:rsidRPr="005B68DD">
              <w:rPr>
                <w:i/>
                <w:sz w:val="18"/>
                <w:szCs w:val="18"/>
                <w:lang w:val="de-CH"/>
              </w:rPr>
              <w:t>Sources complémentaires</w:t>
            </w:r>
            <w:r w:rsidR="008F0DBD" w:rsidRPr="005B68DD">
              <w:rPr>
                <w:i/>
                <w:sz w:val="18"/>
                <w:szCs w:val="18"/>
                <w:lang w:val="de-CH"/>
              </w:rPr>
              <w:t> </w:t>
            </w:r>
            <w:r w:rsidRPr="005B68DD">
              <w:rPr>
                <w:i/>
                <w:sz w:val="18"/>
                <w:szCs w:val="18"/>
                <w:lang w:val="de-CH"/>
              </w:rPr>
              <w:t>:</w:t>
            </w:r>
            <w:r w:rsidR="00205653" w:rsidRPr="005B68DD">
              <w:rPr>
                <w:iCs/>
                <w:sz w:val="18"/>
                <w:szCs w:val="18"/>
                <w:lang w:val="de-CH"/>
              </w:rPr>
              <w:t xml:space="preserve"> </w:t>
            </w:r>
            <w:r w:rsidR="00205653" w:rsidRPr="005B68DD">
              <w:rPr>
                <w:iCs/>
                <w:smallCaps/>
                <w:sz w:val="18"/>
                <w:szCs w:val="18"/>
                <w:lang w:val="de-CH"/>
              </w:rPr>
              <w:t>Pascal Grolimund/Anton K. Schnyder</w:t>
            </w:r>
            <w:r w:rsidR="00205653" w:rsidRPr="005B68DD">
              <w:rPr>
                <w:iCs/>
                <w:sz w:val="18"/>
                <w:szCs w:val="18"/>
                <w:lang w:val="de-CH"/>
              </w:rPr>
              <w:t>, Internationales Privat- und Zivilprozessrecht, in a nushell, 4</w:t>
            </w:r>
            <w:r w:rsidR="00205653" w:rsidRPr="005B68DD">
              <w:rPr>
                <w:iCs/>
                <w:sz w:val="18"/>
                <w:szCs w:val="18"/>
                <w:vertAlign w:val="superscript"/>
                <w:lang w:val="de-CH"/>
              </w:rPr>
              <w:t>e</w:t>
            </w:r>
            <w:r w:rsidR="00205653" w:rsidRPr="005B68DD">
              <w:rPr>
                <w:iCs/>
                <w:sz w:val="18"/>
                <w:szCs w:val="18"/>
                <w:lang w:val="de-CH"/>
              </w:rPr>
              <w:t xml:space="preserve"> éd. </w:t>
            </w:r>
            <w:r w:rsidR="00205653">
              <w:rPr>
                <w:iCs/>
                <w:sz w:val="18"/>
                <w:szCs w:val="18"/>
              </w:rPr>
              <w:t>Zurich 2026</w:t>
            </w:r>
            <w:r w:rsidR="00EB750E" w:rsidRPr="00205653">
              <w:rPr>
                <w:sz w:val="18"/>
                <w:szCs w:val="18"/>
              </w:rPr>
              <w:t xml:space="preserve"> </w:t>
            </w:r>
          </w:p>
          <w:p w14:paraId="2F114983" w14:textId="3D8062E9" w:rsidR="009E4413" w:rsidRPr="00205653" w:rsidRDefault="009E4413" w:rsidP="009E4413">
            <w:pPr>
              <w:jc w:val="both"/>
            </w:pPr>
          </w:p>
        </w:tc>
      </w:tr>
      <w:tr w:rsidR="000E4CEF" w:rsidRPr="006E37E4" w14:paraId="0DBAAC0A" w14:textId="77777777" w:rsidTr="00836552">
        <w:tc>
          <w:tcPr>
            <w:tcW w:w="10031" w:type="dxa"/>
          </w:tcPr>
          <w:p w14:paraId="7621F373" w14:textId="77777777" w:rsidR="000E4CEF" w:rsidRPr="00A6069F" w:rsidRDefault="000E4CEF" w:rsidP="008E1EB6">
            <w:pPr>
              <w:jc w:val="both"/>
              <w:rPr>
                <w:i/>
              </w:rPr>
            </w:pPr>
          </w:p>
          <w:p w14:paraId="0F857C2A" w14:textId="77777777" w:rsidR="000E4CEF" w:rsidRPr="00802EA6" w:rsidRDefault="000E4CEF" w:rsidP="008E1EB6">
            <w:pPr>
              <w:jc w:val="both"/>
              <w:rPr>
                <w:i/>
                <w:sz w:val="24"/>
              </w:rPr>
            </w:pPr>
            <w:r w:rsidRPr="00802EA6">
              <w:rPr>
                <w:i/>
                <w:sz w:val="24"/>
              </w:rPr>
              <w:t>Textes de la LDIP :</w:t>
            </w:r>
          </w:p>
          <w:p w14:paraId="0EF914A1" w14:textId="722B9E3B" w:rsidR="000E4CEF" w:rsidRDefault="00E16420" w:rsidP="008E1EB6">
            <w:pPr>
              <w:jc w:val="both"/>
              <w:rPr>
                <w:sz w:val="18"/>
                <w:szCs w:val="18"/>
              </w:rPr>
            </w:pPr>
            <w:r w:rsidRPr="00802EA6">
              <w:rPr>
                <w:i/>
                <w:sz w:val="18"/>
                <w:szCs w:val="18"/>
              </w:rPr>
              <w:t>Langues officielles :</w:t>
            </w:r>
            <w:r w:rsidRPr="00802EA6">
              <w:rPr>
                <w:sz w:val="18"/>
                <w:szCs w:val="18"/>
              </w:rPr>
              <w:t xml:space="preserve"> </w:t>
            </w:r>
          </w:p>
          <w:p w14:paraId="140650DC" w14:textId="4C72AD17" w:rsidR="00C9459A" w:rsidRPr="00C9459A" w:rsidRDefault="006E37E4" w:rsidP="008E1EB6">
            <w:pPr>
              <w:jc w:val="both"/>
              <w:rPr>
                <w:sz w:val="18"/>
                <w:szCs w:val="18"/>
                <w:lang w:val="de-CH"/>
              </w:rPr>
            </w:pPr>
            <w:r w:rsidRPr="006E37E4">
              <w:rPr>
                <w:smallCaps/>
                <w:sz w:val="18"/>
                <w:szCs w:val="18"/>
              </w:rPr>
              <w:t>Florence Guillaume</w:t>
            </w:r>
            <w:r w:rsidRPr="006E37E4">
              <w:rPr>
                <w:sz w:val="18"/>
                <w:szCs w:val="18"/>
              </w:rPr>
              <w:t>, Droit international privé, Loi fédérale et Conventions in</w:t>
            </w:r>
            <w:r>
              <w:rPr>
                <w:sz w:val="18"/>
                <w:szCs w:val="18"/>
              </w:rPr>
              <w:t>ternationales, Recueil de textes, 12</w:t>
            </w:r>
            <w:r>
              <w:rPr>
                <w:sz w:val="18"/>
                <w:szCs w:val="18"/>
                <w:vertAlign w:val="superscript"/>
              </w:rPr>
              <w:t>e</w:t>
            </w:r>
            <w:r>
              <w:rPr>
                <w:sz w:val="18"/>
                <w:szCs w:val="18"/>
              </w:rPr>
              <w:t xml:space="preserve"> éd. </w:t>
            </w:r>
            <w:r w:rsidRPr="006E37E4">
              <w:rPr>
                <w:sz w:val="18"/>
                <w:szCs w:val="18"/>
                <w:lang w:val="de-CH"/>
              </w:rPr>
              <w:t>Bâle 2026 ;</w:t>
            </w:r>
            <w:r w:rsidRPr="006E37E4">
              <w:rPr>
                <w:smallCaps/>
                <w:sz w:val="18"/>
                <w:szCs w:val="18"/>
                <w:lang w:val="de-CH"/>
              </w:rPr>
              <w:t xml:space="preserve"> </w:t>
            </w:r>
            <w:r w:rsidR="00C9459A" w:rsidRPr="006E37E4">
              <w:rPr>
                <w:smallCaps/>
                <w:sz w:val="18"/>
                <w:szCs w:val="18"/>
                <w:lang w:val="de-CH"/>
              </w:rPr>
              <w:t>Leander D. Loacker</w:t>
            </w:r>
            <w:r w:rsidR="00C9459A" w:rsidRPr="006E37E4">
              <w:rPr>
                <w:sz w:val="18"/>
                <w:szCs w:val="18"/>
                <w:lang w:val="de-CH"/>
              </w:rPr>
              <w:t>, Internationales Privat- und Zivilverfahrensrecht, Textsammlung, 4</w:t>
            </w:r>
            <w:r w:rsidR="00C9459A" w:rsidRPr="006E37E4">
              <w:rPr>
                <w:sz w:val="18"/>
                <w:szCs w:val="18"/>
                <w:vertAlign w:val="superscript"/>
                <w:lang w:val="de-CH"/>
              </w:rPr>
              <w:t>e</w:t>
            </w:r>
            <w:r w:rsidR="00C9459A" w:rsidRPr="006E37E4">
              <w:rPr>
                <w:sz w:val="18"/>
                <w:szCs w:val="18"/>
                <w:lang w:val="de-CH"/>
              </w:rPr>
              <w:t xml:space="preserve"> éd. </w:t>
            </w:r>
            <w:r w:rsidR="00C9459A">
              <w:rPr>
                <w:sz w:val="18"/>
                <w:szCs w:val="18"/>
                <w:lang w:val="de-CH"/>
              </w:rPr>
              <w:t>Zurich 2025</w:t>
            </w:r>
          </w:p>
          <w:p w14:paraId="04990EE7" w14:textId="3FB9BCE5" w:rsidR="00E16420" w:rsidRPr="006E37E4" w:rsidRDefault="00E16420" w:rsidP="008E1EB6">
            <w:pPr>
              <w:jc w:val="both"/>
              <w:rPr>
                <w:sz w:val="18"/>
                <w:szCs w:val="18"/>
                <w:lang w:val="de-CH"/>
              </w:rPr>
            </w:pPr>
            <w:r w:rsidRPr="006E37E4">
              <w:rPr>
                <w:i/>
                <w:sz w:val="18"/>
                <w:szCs w:val="18"/>
                <w:lang w:val="de-CH"/>
              </w:rPr>
              <w:t>Langue anglaise</w:t>
            </w:r>
            <w:r w:rsidR="009E4413" w:rsidRPr="006E37E4">
              <w:rPr>
                <w:i/>
                <w:sz w:val="18"/>
                <w:szCs w:val="18"/>
                <w:lang w:val="de-CH"/>
              </w:rPr>
              <w:t> :</w:t>
            </w:r>
          </w:p>
          <w:p w14:paraId="7EDD600C" w14:textId="77777777" w:rsidR="000E4CEF" w:rsidRPr="006E37E4" w:rsidRDefault="000E4CEF" w:rsidP="008E1EB6">
            <w:pPr>
              <w:jc w:val="both"/>
              <w:rPr>
                <w:sz w:val="18"/>
                <w:szCs w:val="18"/>
                <w:lang w:val="de-CH"/>
              </w:rPr>
            </w:pPr>
          </w:p>
        </w:tc>
      </w:tr>
      <w:tr w:rsidR="00EB750E" w:rsidRPr="009E4413" w14:paraId="08FE81D9" w14:textId="77777777" w:rsidTr="00836552">
        <w:tc>
          <w:tcPr>
            <w:tcW w:w="10031" w:type="dxa"/>
          </w:tcPr>
          <w:p w14:paraId="4D66C2E4" w14:textId="77777777" w:rsidR="00EB750E" w:rsidRPr="00205653" w:rsidRDefault="00EB750E" w:rsidP="008E1EB6">
            <w:pPr>
              <w:jc w:val="both"/>
              <w:rPr>
                <w:i/>
              </w:rPr>
            </w:pPr>
          </w:p>
          <w:p w14:paraId="7A4F74B3" w14:textId="77777777" w:rsidR="00EB750E" w:rsidRPr="00802EA6" w:rsidRDefault="00EB750E" w:rsidP="008E1EB6">
            <w:pPr>
              <w:jc w:val="both"/>
              <w:rPr>
                <w:i/>
              </w:rPr>
            </w:pPr>
            <w:r w:rsidRPr="00802EA6">
              <w:rPr>
                <w:i/>
              </w:rPr>
              <w:t>Travaux préparatoires de la LDIP :</w:t>
            </w:r>
          </w:p>
          <w:p w14:paraId="553CE8FE" w14:textId="041F6C75" w:rsidR="00EB750E" w:rsidRPr="00A6069F" w:rsidRDefault="00EB750E" w:rsidP="00EB750E">
            <w:pPr>
              <w:jc w:val="both"/>
              <w:rPr>
                <w:sz w:val="18"/>
                <w:szCs w:val="18"/>
              </w:rPr>
            </w:pPr>
          </w:p>
          <w:p w14:paraId="1CC33CC1" w14:textId="77777777" w:rsidR="00EB750E" w:rsidRPr="00A6069F" w:rsidRDefault="00EB750E" w:rsidP="008E1EB6">
            <w:pPr>
              <w:jc w:val="both"/>
              <w:rPr>
                <w:i/>
                <w:sz w:val="18"/>
                <w:szCs w:val="18"/>
              </w:rPr>
            </w:pPr>
          </w:p>
        </w:tc>
      </w:tr>
      <w:tr w:rsidR="00821D24" w:rsidRPr="00B858A3" w14:paraId="7E2E1302" w14:textId="77777777" w:rsidTr="00836552">
        <w:tc>
          <w:tcPr>
            <w:tcW w:w="10031" w:type="dxa"/>
          </w:tcPr>
          <w:p w14:paraId="26C80B1F" w14:textId="77777777" w:rsidR="00553D28" w:rsidRPr="00A6069F" w:rsidRDefault="00553D28" w:rsidP="008E1EB6">
            <w:pPr>
              <w:jc w:val="both"/>
              <w:rPr>
                <w:i/>
              </w:rPr>
            </w:pPr>
          </w:p>
          <w:p w14:paraId="635F5AF5" w14:textId="77777777" w:rsidR="00821D24" w:rsidRDefault="00836552" w:rsidP="008E1EB6">
            <w:pPr>
              <w:jc w:val="both"/>
              <w:rPr>
                <w:i/>
              </w:rPr>
            </w:pPr>
            <w:r w:rsidRPr="00802EA6">
              <w:rPr>
                <w:i/>
              </w:rPr>
              <w:t>Conférence de La Haye de droit international privé</w:t>
            </w:r>
            <w:r w:rsidR="002247F1">
              <w:rPr>
                <w:i/>
              </w:rPr>
              <w:t> :</w:t>
            </w:r>
          </w:p>
          <w:p w14:paraId="6C4DC291" w14:textId="77777777" w:rsidR="000B5CFB" w:rsidRPr="00B858A3" w:rsidRDefault="000B5CFB" w:rsidP="009E4413">
            <w:pPr>
              <w:jc w:val="both"/>
              <w:rPr>
                <w:i/>
              </w:rPr>
            </w:pPr>
          </w:p>
        </w:tc>
      </w:tr>
      <w:tr w:rsidR="00821D24" w:rsidRPr="00141795" w14:paraId="64452B2A" w14:textId="77777777" w:rsidTr="00836552">
        <w:tc>
          <w:tcPr>
            <w:tcW w:w="10031" w:type="dxa"/>
          </w:tcPr>
          <w:p w14:paraId="489C27F1" w14:textId="77777777" w:rsidR="00553D28" w:rsidRPr="00B858A3" w:rsidRDefault="00553D28" w:rsidP="008E1EB6">
            <w:pPr>
              <w:jc w:val="both"/>
              <w:rPr>
                <w:i/>
              </w:rPr>
            </w:pPr>
            <w:bookmarkStart w:id="0" w:name="_Hlk80691935"/>
          </w:p>
          <w:p w14:paraId="29B517E7" w14:textId="77777777" w:rsidR="0026106C" w:rsidRPr="00242097" w:rsidRDefault="00836552" w:rsidP="0026106C">
            <w:pPr>
              <w:jc w:val="both"/>
              <w:rPr>
                <w:i/>
              </w:rPr>
            </w:pPr>
            <w:r w:rsidRPr="00242097">
              <w:rPr>
                <w:i/>
              </w:rPr>
              <w:t>Union européenne</w:t>
            </w:r>
            <w:r w:rsidR="008F0DBD" w:rsidRPr="00242097">
              <w:rPr>
                <w:i/>
              </w:rPr>
              <w:t> </w:t>
            </w:r>
            <w:r w:rsidRPr="00242097">
              <w:rPr>
                <w:i/>
              </w:rPr>
              <w:t>:</w:t>
            </w:r>
          </w:p>
          <w:p w14:paraId="27511E78" w14:textId="44904566" w:rsidR="00553D28" w:rsidRPr="00881462" w:rsidRDefault="00B31E97" w:rsidP="009E4413">
            <w:pPr>
              <w:jc w:val="both"/>
              <w:rPr>
                <w:sz w:val="18"/>
                <w:szCs w:val="18"/>
              </w:rPr>
            </w:pPr>
            <w:r w:rsidRPr="00242097">
              <w:rPr>
                <w:smallCaps/>
                <w:sz w:val="18"/>
                <w:szCs w:val="18"/>
              </w:rPr>
              <w:t>Christine Budzikiewicz</w:t>
            </w:r>
            <w:r w:rsidRPr="00242097">
              <w:rPr>
                <w:sz w:val="18"/>
                <w:szCs w:val="18"/>
              </w:rPr>
              <w:t xml:space="preserve"> </w:t>
            </w:r>
            <w:r w:rsidRPr="00242097">
              <w:rPr>
                <w:i/>
                <w:iCs/>
                <w:sz w:val="18"/>
                <w:szCs w:val="18"/>
              </w:rPr>
              <w:t>et al.</w:t>
            </w:r>
            <w:r w:rsidRPr="00242097">
              <w:rPr>
                <w:sz w:val="18"/>
                <w:szCs w:val="18"/>
              </w:rPr>
              <w:t>, Europäisches Kollisionsrecht 202</w:t>
            </w:r>
            <w:r w:rsidR="00881462">
              <w:rPr>
                <w:sz w:val="18"/>
                <w:szCs w:val="18"/>
              </w:rPr>
              <w:t>5</w:t>
            </w:r>
            <w:r w:rsidRPr="00242097">
              <w:rPr>
                <w:sz w:val="18"/>
                <w:szCs w:val="18"/>
              </w:rPr>
              <w:t xml:space="preserve">: </w:t>
            </w:r>
            <w:r w:rsidR="00881462">
              <w:rPr>
                <w:sz w:val="18"/>
                <w:szCs w:val="18"/>
              </w:rPr>
              <w:t>Im Windschatten der Weltpolitik</w:t>
            </w:r>
            <w:r w:rsidRPr="00242097">
              <w:rPr>
                <w:sz w:val="18"/>
                <w:szCs w:val="18"/>
              </w:rPr>
              <w:t>?, IPRax 4</w:t>
            </w:r>
            <w:r w:rsidR="00881462">
              <w:rPr>
                <w:sz w:val="18"/>
                <w:szCs w:val="18"/>
              </w:rPr>
              <w:t>6</w:t>
            </w:r>
            <w:r w:rsidRPr="00242097">
              <w:rPr>
                <w:sz w:val="18"/>
                <w:szCs w:val="18"/>
              </w:rPr>
              <w:t xml:space="preserve"> (202</w:t>
            </w:r>
            <w:r w:rsidR="00881462">
              <w:rPr>
                <w:sz w:val="18"/>
                <w:szCs w:val="18"/>
              </w:rPr>
              <w:t>6</w:t>
            </w:r>
            <w:r w:rsidRPr="00242097">
              <w:rPr>
                <w:sz w:val="18"/>
                <w:szCs w:val="18"/>
              </w:rPr>
              <w:t xml:space="preserve">) p. </w:t>
            </w:r>
            <w:r w:rsidR="00881462">
              <w:rPr>
                <w:sz w:val="18"/>
                <w:szCs w:val="18"/>
              </w:rPr>
              <w:t>105-146</w:t>
            </w:r>
            <w:r w:rsidR="004834DC" w:rsidRPr="00242097">
              <w:rPr>
                <w:sz w:val="18"/>
                <w:szCs w:val="18"/>
              </w:rPr>
              <w:t>;</w:t>
            </w:r>
            <w:r w:rsidR="00C9459A" w:rsidRPr="00242097">
              <w:rPr>
                <w:sz w:val="18"/>
                <w:szCs w:val="18"/>
              </w:rPr>
              <w:t xml:space="preserve"> </w:t>
            </w:r>
            <w:r w:rsidR="00C9459A" w:rsidRPr="00242097">
              <w:rPr>
                <w:smallCaps/>
                <w:sz w:val="18"/>
                <w:szCs w:val="18"/>
              </w:rPr>
              <w:t>Jean-Yves Carlier/Stéphanie Francq</w:t>
            </w:r>
            <w:r w:rsidR="00C9459A" w:rsidRPr="00242097">
              <w:rPr>
                <w:sz w:val="18"/>
                <w:szCs w:val="18"/>
              </w:rPr>
              <w:t xml:space="preserve"> (éd.), Vers un code européen de droit international privé?, Liber amicorum Marc Fallon, Bruxelles 2025 ; </w:t>
            </w:r>
            <w:r w:rsidR="00C9459A" w:rsidRPr="00242097">
              <w:rPr>
                <w:smallCaps/>
                <w:sz w:val="18"/>
                <w:szCs w:val="18"/>
              </w:rPr>
              <w:t>Morten M. Fogt</w:t>
            </w:r>
            <w:r w:rsidR="00C9459A" w:rsidRPr="00242097">
              <w:rPr>
                <w:sz w:val="18"/>
                <w:szCs w:val="18"/>
              </w:rPr>
              <w:t xml:space="preserve"> (éd.), Private International Law in an Era of Change, Cheltenham 2024;</w:t>
            </w:r>
            <w:r w:rsidR="004834DC" w:rsidRPr="00242097">
              <w:rPr>
                <w:sz w:val="18"/>
                <w:szCs w:val="18"/>
              </w:rPr>
              <w:t xml:space="preserve"> </w:t>
            </w:r>
            <w:r w:rsidR="004834DC" w:rsidRPr="00242097">
              <w:rPr>
                <w:smallCaps/>
                <w:sz w:val="18"/>
                <w:szCs w:val="18"/>
              </w:rPr>
              <w:t>Rainer Hüsstege/Heinz-Peter Mansel</w:t>
            </w:r>
            <w:r w:rsidR="004834DC" w:rsidRPr="00242097">
              <w:rPr>
                <w:sz w:val="18"/>
                <w:szCs w:val="18"/>
              </w:rPr>
              <w:t xml:space="preserve"> (éd.), Rom-Verordnungen, 4</w:t>
            </w:r>
            <w:r w:rsidR="004834DC" w:rsidRPr="00242097">
              <w:rPr>
                <w:sz w:val="18"/>
                <w:szCs w:val="18"/>
                <w:vertAlign w:val="superscript"/>
              </w:rPr>
              <w:t>e</w:t>
            </w:r>
            <w:r w:rsidR="004834DC" w:rsidRPr="00242097">
              <w:rPr>
                <w:sz w:val="18"/>
                <w:szCs w:val="18"/>
              </w:rPr>
              <w:t xml:space="preserve"> éd. </w:t>
            </w:r>
            <w:r w:rsidR="004834DC" w:rsidRPr="00881462">
              <w:rPr>
                <w:sz w:val="18"/>
                <w:szCs w:val="18"/>
              </w:rPr>
              <w:t>Baden-Baden 2024</w:t>
            </w:r>
            <w:r w:rsidR="00141795" w:rsidRPr="00881462">
              <w:rPr>
                <w:sz w:val="18"/>
                <w:szCs w:val="18"/>
              </w:rPr>
              <w:t>.</w:t>
            </w:r>
          </w:p>
          <w:p w14:paraId="1D8A78B3" w14:textId="77777777" w:rsidR="00B31E97" w:rsidRPr="00881462" w:rsidRDefault="00B31E97" w:rsidP="009E4413">
            <w:pPr>
              <w:jc w:val="both"/>
              <w:rPr>
                <w:sz w:val="18"/>
                <w:szCs w:val="18"/>
              </w:rPr>
            </w:pPr>
          </w:p>
        </w:tc>
      </w:tr>
      <w:bookmarkEnd w:id="0"/>
      <w:tr w:rsidR="001E66F4" w:rsidRPr="005B68DD" w14:paraId="3BF0199F" w14:textId="77777777" w:rsidTr="00836552">
        <w:tc>
          <w:tcPr>
            <w:tcW w:w="10031" w:type="dxa"/>
          </w:tcPr>
          <w:p w14:paraId="4C95D6AE" w14:textId="57559BCA" w:rsidR="001E66F4" w:rsidRPr="005B68DD" w:rsidRDefault="001E66F4" w:rsidP="008E1EB6">
            <w:pPr>
              <w:jc w:val="both"/>
              <w:rPr>
                <w:lang w:val="en-US"/>
              </w:rPr>
            </w:pPr>
          </w:p>
          <w:p w14:paraId="2B59A4AF" w14:textId="77777777" w:rsidR="001E66F4" w:rsidRPr="00C9459A" w:rsidRDefault="001E66F4" w:rsidP="008E1EB6">
            <w:pPr>
              <w:jc w:val="both"/>
              <w:rPr>
                <w:lang w:val="en-US"/>
              </w:rPr>
            </w:pPr>
            <w:r w:rsidRPr="00C9459A">
              <w:rPr>
                <w:i/>
                <w:lang w:val="en-US"/>
              </w:rPr>
              <w:t>Brexit</w:t>
            </w:r>
          </w:p>
          <w:p w14:paraId="146A196D" w14:textId="0CDB0FAE" w:rsidR="001E66F4" w:rsidRPr="00485D37" w:rsidRDefault="00485D37" w:rsidP="009E4413">
            <w:pPr>
              <w:jc w:val="both"/>
              <w:rPr>
                <w:sz w:val="18"/>
                <w:szCs w:val="18"/>
                <w:lang w:val="en-US"/>
              </w:rPr>
            </w:pPr>
            <w:r w:rsidRPr="00485D37">
              <w:rPr>
                <w:smallCaps/>
                <w:sz w:val="18"/>
                <w:szCs w:val="18"/>
                <w:lang w:val="en-US"/>
              </w:rPr>
              <w:t>Eva Lein</w:t>
            </w:r>
            <w:r w:rsidRPr="00485D37">
              <w:rPr>
                <w:sz w:val="18"/>
                <w:szCs w:val="18"/>
                <w:lang w:val="en-US"/>
              </w:rPr>
              <w:t>, An «English Go</w:t>
            </w:r>
            <w:r>
              <w:rPr>
                <w:sz w:val="18"/>
                <w:szCs w:val="18"/>
                <w:lang w:val="en-US"/>
              </w:rPr>
              <w:t>od-Bye</w:t>
            </w:r>
            <w:r w:rsidRPr="00485D37">
              <w:rPr>
                <w:lang w:val="en-US"/>
              </w:rPr>
              <w:t>»</w:t>
            </w:r>
            <w:r>
              <w:rPr>
                <w:sz w:val="18"/>
                <w:szCs w:val="18"/>
                <w:lang w:val="en-US"/>
              </w:rPr>
              <w:t>, The United Kingdom and the Lugano Convention, New York University Journal of International Law and Politics 56 (2023) p. 263-283</w:t>
            </w:r>
          </w:p>
          <w:p w14:paraId="54D64A60" w14:textId="77777777" w:rsidR="00485D37" w:rsidRPr="00485D37" w:rsidRDefault="00485D37" w:rsidP="009E4413">
            <w:pPr>
              <w:jc w:val="both"/>
              <w:rPr>
                <w:sz w:val="18"/>
                <w:szCs w:val="18"/>
                <w:lang w:val="en-US"/>
              </w:rPr>
            </w:pPr>
          </w:p>
        </w:tc>
      </w:tr>
      <w:tr w:rsidR="00821D24" w:rsidRPr="005B68DD" w14:paraId="09798BD8" w14:textId="77777777" w:rsidTr="00836552">
        <w:tc>
          <w:tcPr>
            <w:tcW w:w="10031" w:type="dxa"/>
          </w:tcPr>
          <w:p w14:paraId="0513ACF3" w14:textId="77777777" w:rsidR="00553D28" w:rsidRPr="00485D37" w:rsidRDefault="00553D28" w:rsidP="008E1EB6">
            <w:pPr>
              <w:jc w:val="both"/>
              <w:rPr>
                <w:i/>
                <w:lang w:val="en-US"/>
              </w:rPr>
            </w:pPr>
          </w:p>
          <w:p w14:paraId="5EDEA4FE" w14:textId="77777777" w:rsidR="00821D24" w:rsidRPr="00802EA6" w:rsidRDefault="00836552" w:rsidP="008E1EB6">
            <w:pPr>
              <w:jc w:val="both"/>
            </w:pPr>
            <w:r w:rsidRPr="00802EA6">
              <w:rPr>
                <w:i/>
              </w:rPr>
              <w:t>Droit international privé étranger et comparé</w:t>
            </w:r>
            <w:r w:rsidR="008F0DBD" w:rsidRPr="00802EA6">
              <w:rPr>
                <w:i/>
              </w:rPr>
              <w:t> </w:t>
            </w:r>
            <w:r w:rsidRPr="00802EA6">
              <w:rPr>
                <w:i/>
              </w:rPr>
              <w:t>:</w:t>
            </w:r>
          </w:p>
          <w:p w14:paraId="1E6C7F63" w14:textId="42433E85" w:rsidR="00836552" w:rsidRPr="00A6069F" w:rsidRDefault="008E1EB6" w:rsidP="008E1EB6">
            <w:pPr>
              <w:jc w:val="both"/>
              <w:rPr>
                <w:sz w:val="18"/>
                <w:szCs w:val="18"/>
              </w:rPr>
            </w:pPr>
            <w:r w:rsidRPr="00A6069F">
              <w:rPr>
                <w:i/>
                <w:sz w:val="18"/>
                <w:szCs w:val="18"/>
              </w:rPr>
              <w:t>Ouvrages généraux :</w:t>
            </w:r>
            <w:r w:rsidRPr="00A6069F">
              <w:rPr>
                <w:sz w:val="18"/>
                <w:szCs w:val="18"/>
              </w:rPr>
              <w:t xml:space="preserve"> </w:t>
            </w:r>
          </w:p>
          <w:p w14:paraId="444DCD4D" w14:textId="7F9DB4BE" w:rsidR="00C9459A" w:rsidRPr="00C9459A" w:rsidRDefault="00E16420" w:rsidP="00C9459A">
            <w:pPr>
              <w:jc w:val="both"/>
              <w:rPr>
                <w:sz w:val="18"/>
                <w:szCs w:val="18"/>
              </w:rPr>
            </w:pPr>
            <w:r w:rsidRPr="00802EA6">
              <w:rPr>
                <w:i/>
                <w:sz w:val="18"/>
                <w:szCs w:val="18"/>
              </w:rPr>
              <w:t>France :</w:t>
            </w:r>
            <w:r w:rsidRPr="00802EA6">
              <w:rPr>
                <w:sz w:val="18"/>
                <w:szCs w:val="18"/>
              </w:rPr>
              <w:t xml:space="preserve"> </w:t>
            </w:r>
            <w:r w:rsidR="00C9459A">
              <w:rPr>
                <w:smallCaps/>
                <w:sz w:val="18"/>
                <w:szCs w:val="18"/>
              </w:rPr>
              <w:t>Ludovic Pailler</w:t>
            </w:r>
            <w:r w:rsidR="00C9459A">
              <w:rPr>
                <w:sz w:val="18"/>
                <w:szCs w:val="18"/>
              </w:rPr>
              <w:t>, La codification du droit international privé français à l’heure européenne : analyse de droit comparé, Paris 2025</w:t>
            </w:r>
          </w:p>
          <w:p w14:paraId="4D6F02C9" w14:textId="5B62BB7B" w:rsidR="0083741D" w:rsidRPr="003330F7" w:rsidRDefault="0083741D" w:rsidP="00C9459A">
            <w:pPr>
              <w:jc w:val="both"/>
              <w:rPr>
                <w:iCs/>
                <w:sz w:val="18"/>
                <w:szCs w:val="18"/>
                <w:lang w:val="de-CH"/>
              </w:rPr>
            </w:pPr>
            <w:r w:rsidRPr="00205653">
              <w:rPr>
                <w:i/>
                <w:sz w:val="18"/>
                <w:szCs w:val="18"/>
              </w:rPr>
              <w:t>Belgique</w:t>
            </w:r>
            <w:r w:rsidR="006D37D6" w:rsidRPr="00205653">
              <w:rPr>
                <w:i/>
                <w:sz w:val="18"/>
                <w:szCs w:val="18"/>
              </w:rPr>
              <w:t> </w:t>
            </w:r>
            <w:bookmarkStart w:id="1" w:name="_Hlk80693700"/>
            <w:r w:rsidR="006D37D6" w:rsidRPr="00205653">
              <w:rPr>
                <w:i/>
                <w:sz w:val="18"/>
                <w:szCs w:val="18"/>
              </w:rPr>
              <w:t xml:space="preserve">: </w:t>
            </w:r>
            <w:bookmarkStart w:id="2" w:name="_Hlk80693897"/>
            <w:bookmarkEnd w:id="1"/>
            <w:r w:rsidR="00205653" w:rsidRPr="00205653">
              <w:rPr>
                <w:iCs/>
                <w:smallCaps/>
                <w:sz w:val="18"/>
                <w:szCs w:val="18"/>
              </w:rPr>
              <w:t>Olivier Cachard/Paul K</w:t>
            </w:r>
            <w:r w:rsidR="00205653">
              <w:rPr>
                <w:iCs/>
                <w:smallCaps/>
                <w:sz w:val="18"/>
                <w:szCs w:val="18"/>
              </w:rPr>
              <w:t>lötgen</w:t>
            </w:r>
            <w:r w:rsidR="00205653">
              <w:rPr>
                <w:iCs/>
                <w:sz w:val="18"/>
                <w:szCs w:val="18"/>
              </w:rPr>
              <w:t>, Droit internationale privé, 10</w:t>
            </w:r>
            <w:r w:rsidR="00205653">
              <w:rPr>
                <w:iCs/>
                <w:sz w:val="18"/>
                <w:szCs w:val="18"/>
                <w:vertAlign w:val="superscript"/>
              </w:rPr>
              <w:t>e</w:t>
            </w:r>
            <w:r w:rsidR="00205653">
              <w:rPr>
                <w:iCs/>
                <w:sz w:val="18"/>
                <w:szCs w:val="18"/>
              </w:rPr>
              <w:t xml:space="preserve"> éd. </w:t>
            </w:r>
            <w:r w:rsidR="00205653" w:rsidRPr="003330F7">
              <w:rPr>
                <w:iCs/>
                <w:sz w:val="18"/>
                <w:szCs w:val="18"/>
                <w:lang w:val="de-CH"/>
              </w:rPr>
              <w:t>Bruxelles 2025</w:t>
            </w:r>
          </w:p>
          <w:bookmarkEnd w:id="2"/>
          <w:p w14:paraId="36CAAD9D" w14:textId="11D51927" w:rsidR="00CC1457" w:rsidRPr="00D611B1" w:rsidRDefault="00CC1457" w:rsidP="008E1EB6">
            <w:pPr>
              <w:jc w:val="both"/>
              <w:rPr>
                <w:sz w:val="18"/>
                <w:szCs w:val="18"/>
                <w:lang w:val="es-AR"/>
              </w:rPr>
            </w:pPr>
            <w:r w:rsidRPr="002F2587">
              <w:rPr>
                <w:i/>
                <w:sz w:val="18"/>
                <w:szCs w:val="18"/>
                <w:lang w:val="es-AR"/>
              </w:rPr>
              <w:t>Italie :</w:t>
            </w:r>
            <w:r w:rsidRPr="002F2587">
              <w:rPr>
                <w:sz w:val="18"/>
                <w:szCs w:val="18"/>
                <w:lang w:val="es-AR"/>
              </w:rPr>
              <w:t xml:space="preserve"> </w:t>
            </w:r>
            <w:bookmarkStart w:id="3" w:name="_Hlk80694031"/>
          </w:p>
          <w:bookmarkEnd w:id="3"/>
          <w:p w14:paraId="002BCA8B" w14:textId="602BD82B" w:rsidR="009543BA" w:rsidRPr="004834DC" w:rsidRDefault="0083741D" w:rsidP="009543BA">
            <w:pPr>
              <w:jc w:val="both"/>
              <w:rPr>
                <w:sz w:val="18"/>
                <w:szCs w:val="18"/>
                <w:lang w:val="es-AR"/>
              </w:rPr>
            </w:pPr>
            <w:r w:rsidRPr="00D611B1">
              <w:rPr>
                <w:i/>
                <w:sz w:val="18"/>
                <w:szCs w:val="18"/>
                <w:lang w:val="es-AR"/>
              </w:rPr>
              <w:t>Allemagne:</w:t>
            </w:r>
            <w:r w:rsidRPr="00D611B1">
              <w:rPr>
                <w:sz w:val="18"/>
                <w:szCs w:val="18"/>
                <w:lang w:val="es-AR"/>
              </w:rPr>
              <w:t xml:space="preserve"> </w:t>
            </w:r>
            <w:bookmarkStart w:id="4" w:name="_Hlk80694153"/>
            <w:r w:rsidR="00BE173D">
              <w:rPr>
                <w:sz w:val="18"/>
                <w:szCs w:val="18"/>
                <w:lang w:val="es-AR"/>
              </w:rPr>
              <w:t>2/3</w:t>
            </w:r>
            <w:r w:rsidR="00BE173D">
              <w:rPr>
                <w:sz w:val="18"/>
                <w:szCs w:val="18"/>
                <w:vertAlign w:val="superscript"/>
                <w:lang w:val="es-AR"/>
              </w:rPr>
              <w:t>e</w:t>
            </w:r>
            <w:r w:rsidR="00BE173D">
              <w:rPr>
                <w:sz w:val="18"/>
                <w:szCs w:val="18"/>
                <w:lang w:val="es-AR"/>
              </w:rPr>
              <w:t xml:space="preserve"> lignes: remplacer “Tübingen 1926 ss” par Tübingen 1926-2022, suivi sous: iprspr.de</w:t>
            </w:r>
            <w:r w:rsidR="009543BA">
              <w:rPr>
                <w:sz w:val="18"/>
                <w:szCs w:val="18"/>
                <w:lang w:val="es-AR"/>
              </w:rPr>
              <w:t xml:space="preserve">; </w:t>
            </w:r>
            <w:r w:rsidR="009543BA" w:rsidRPr="009543BA">
              <w:rPr>
                <w:smallCaps/>
                <w:sz w:val="18"/>
                <w:szCs w:val="18"/>
                <w:lang w:val="es-AR"/>
              </w:rPr>
              <w:t>Erik Jayme/Rainer Hausmann</w:t>
            </w:r>
            <w:r w:rsidR="009543BA">
              <w:rPr>
                <w:smallCaps/>
                <w:sz w:val="18"/>
                <w:szCs w:val="18"/>
                <w:lang w:val="es-AR"/>
              </w:rPr>
              <w:t xml:space="preserve">, </w:t>
            </w:r>
            <w:r w:rsidR="009543BA" w:rsidRPr="009543BA">
              <w:rPr>
                <w:sz w:val="18"/>
                <w:szCs w:val="18"/>
                <w:lang w:val="es-AR"/>
              </w:rPr>
              <w:t>Internationales</w:t>
            </w:r>
            <w:r w:rsidR="009543BA">
              <w:rPr>
                <w:sz w:val="18"/>
                <w:szCs w:val="18"/>
                <w:lang w:val="es-AR"/>
              </w:rPr>
              <w:t xml:space="preserve"> Privat- und Verfahrensrecht, Textausgabe, 22</w:t>
            </w:r>
            <w:r w:rsidR="009543BA">
              <w:rPr>
                <w:sz w:val="18"/>
                <w:szCs w:val="18"/>
                <w:vertAlign w:val="superscript"/>
                <w:lang w:val="es-AR"/>
              </w:rPr>
              <w:t>e</w:t>
            </w:r>
            <w:r w:rsidR="009543BA">
              <w:rPr>
                <w:sz w:val="18"/>
                <w:szCs w:val="18"/>
                <w:lang w:val="es-AR"/>
              </w:rPr>
              <w:t xml:space="preserve"> éd. Munich 2024</w:t>
            </w:r>
            <w:r w:rsidR="004834DC">
              <w:rPr>
                <w:sz w:val="18"/>
                <w:szCs w:val="18"/>
                <w:lang w:val="es-AR"/>
              </w:rPr>
              <w:t xml:space="preserve">; </w:t>
            </w:r>
            <w:r w:rsidR="004834DC">
              <w:rPr>
                <w:smallCaps/>
                <w:sz w:val="18"/>
                <w:szCs w:val="18"/>
                <w:lang w:val="es-AR"/>
              </w:rPr>
              <w:t>Abbo Junker</w:t>
            </w:r>
            <w:r w:rsidR="004834DC">
              <w:rPr>
                <w:sz w:val="18"/>
                <w:szCs w:val="18"/>
                <w:lang w:val="es-AR"/>
              </w:rPr>
              <w:t>, Internationales Privatrecht, 6</w:t>
            </w:r>
            <w:r w:rsidR="004834DC">
              <w:rPr>
                <w:sz w:val="18"/>
                <w:szCs w:val="18"/>
                <w:vertAlign w:val="superscript"/>
                <w:lang w:val="es-AR"/>
              </w:rPr>
              <w:t>e</w:t>
            </w:r>
            <w:r w:rsidR="004834DC">
              <w:rPr>
                <w:sz w:val="18"/>
                <w:szCs w:val="18"/>
                <w:lang w:val="es-AR"/>
              </w:rPr>
              <w:t xml:space="preserve"> éd. Munich 2024</w:t>
            </w:r>
          </w:p>
          <w:bookmarkEnd w:id="4"/>
          <w:p w14:paraId="17EA7344" w14:textId="55963246" w:rsidR="00CF7070" w:rsidRPr="00205653" w:rsidRDefault="0083741D" w:rsidP="008E1EB6">
            <w:pPr>
              <w:jc w:val="both"/>
              <w:rPr>
                <w:iCs/>
                <w:sz w:val="18"/>
                <w:szCs w:val="18"/>
                <w:lang w:val="es-AR"/>
              </w:rPr>
            </w:pPr>
            <w:r w:rsidRPr="004834DC">
              <w:rPr>
                <w:i/>
                <w:sz w:val="18"/>
                <w:szCs w:val="18"/>
                <w:lang w:val="es-AR"/>
              </w:rPr>
              <w:t>Autriche</w:t>
            </w:r>
            <w:r w:rsidR="00CF7070" w:rsidRPr="004834DC">
              <w:rPr>
                <w:i/>
                <w:sz w:val="18"/>
                <w:szCs w:val="18"/>
                <w:lang w:val="es-AR"/>
              </w:rPr>
              <w:t> :</w:t>
            </w:r>
            <w:r w:rsidR="004A6464" w:rsidRPr="004834DC">
              <w:rPr>
                <w:i/>
                <w:sz w:val="18"/>
                <w:szCs w:val="18"/>
                <w:lang w:val="es-AR"/>
              </w:rPr>
              <w:t xml:space="preserve"> </w:t>
            </w:r>
            <w:bookmarkStart w:id="5" w:name="_Hlk80694615"/>
            <w:r w:rsidR="00205653">
              <w:rPr>
                <w:iCs/>
                <w:smallCaps/>
                <w:sz w:val="18"/>
                <w:szCs w:val="18"/>
                <w:lang w:val="es-AR"/>
              </w:rPr>
              <w:t>Brigitta Lurger</w:t>
            </w:r>
            <w:r w:rsidR="00205653">
              <w:rPr>
                <w:iCs/>
                <w:sz w:val="18"/>
                <w:szCs w:val="18"/>
                <w:lang w:val="es-AR"/>
              </w:rPr>
              <w:t>, Internationales Privatrecht, 4</w:t>
            </w:r>
            <w:r w:rsidR="00205653">
              <w:rPr>
                <w:iCs/>
                <w:sz w:val="18"/>
                <w:szCs w:val="18"/>
                <w:vertAlign w:val="superscript"/>
                <w:lang w:val="es-AR"/>
              </w:rPr>
              <w:t>e</w:t>
            </w:r>
            <w:r w:rsidR="00205653">
              <w:rPr>
                <w:iCs/>
                <w:sz w:val="18"/>
                <w:szCs w:val="18"/>
                <w:lang w:val="es-AR"/>
              </w:rPr>
              <w:t xml:space="preserve"> éd. Vienne 2024</w:t>
            </w:r>
          </w:p>
          <w:bookmarkEnd w:id="5"/>
          <w:p w14:paraId="1854ABB5" w14:textId="6395D483" w:rsidR="00836552" w:rsidRPr="00205653" w:rsidRDefault="00553D28" w:rsidP="008E1EB6">
            <w:pPr>
              <w:jc w:val="both"/>
              <w:rPr>
                <w:sz w:val="18"/>
                <w:szCs w:val="18"/>
                <w:lang w:val="es-AR"/>
              </w:rPr>
            </w:pPr>
            <w:r w:rsidRPr="004834DC">
              <w:rPr>
                <w:i/>
                <w:sz w:val="18"/>
                <w:szCs w:val="18"/>
                <w:lang w:val="es-AR"/>
              </w:rPr>
              <w:t>Royaume-Uni</w:t>
            </w:r>
            <w:r w:rsidR="008F0DBD" w:rsidRPr="004834DC">
              <w:rPr>
                <w:i/>
                <w:sz w:val="18"/>
                <w:szCs w:val="18"/>
                <w:lang w:val="es-AR"/>
              </w:rPr>
              <w:t> </w:t>
            </w:r>
            <w:r w:rsidR="00836552" w:rsidRPr="004834DC">
              <w:rPr>
                <w:i/>
                <w:sz w:val="18"/>
                <w:szCs w:val="18"/>
                <w:lang w:val="es-AR"/>
              </w:rPr>
              <w:t>:</w:t>
            </w:r>
            <w:r w:rsidRPr="004834DC">
              <w:rPr>
                <w:sz w:val="18"/>
                <w:szCs w:val="18"/>
                <w:lang w:val="es-AR"/>
              </w:rPr>
              <w:t xml:space="preserve"> </w:t>
            </w:r>
            <w:r w:rsidR="007B188D">
              <w:rPr>
                <w:smallCaps/>
                <w:sz w:val="18"/>
                <w:szCs w:val="18"/>
                <w:lang w:val="es-AR"/>
              </w:rPr>
              <w:t>Collins</w:t>
            </w:r>
            <w:r w:rsidR="007B188D">
              <w:rPr>
                <w:sz w:val="18"/>
                <w:szCs w:val="18"/>
                <w:lang w:val="es-AR"/>
              </w:rPr>
              <w:t xml:space="preserve"> …., Dicey, Morris and Collins on the Conflicto f Laws, 16</w:t>
            </w:r>
            <w:r w:rsidR="007B188D">
              <w:rPr>
                <w:sz w:val="18"/>
                <w:szCs w:val="18"/>
                <w:vertAlign w:val="superscript"/>
                <w:lang w:val="es-AR"/>
              </w:rPr>
              <w:t>e</w:t>
            </w:r>
            <w:r w:rsidR="007B188D">
              <w:rPr>
                <w:sz w:val="18"/>
                <w:szCs w:val="18"/>
                <w:lang w:val="es-AR"/>
              </w:rPr>
              <w:t xml:space="preserve"> éd., Londres </w:t>
            </w:r>
            <w:r w:rsidR="002C53FC">
              <w:rPr>
                <w:sz w:val="18"/>
                <w:szCs w:val="18"/>
                <w:lang w:val="es-AR"/>
              </w:rPr>
              <w:t>2022, 2</w:t>
            </w:r>
            <w:r w:rsidR="002C53FC">
              <w:rPr>
                <w:sz w:val="18"/>
                <w:szCs w:val="18"/>
                <w:vertAlign w:val="superscript"/>
                <w:lang w:val="es-AR"/>
              </w:rPr>
              <w:t>e</w:t>
            </w:r>
            <w:r w:rsidR="002C53FC">
              <w:rPr>
                <w:sz w:val="18"/>
                <w:szCs w:val="18"/>
                <w:lang w:val="es-AR"/>
              </w:rPr>
              <w:t xml:space="preserve"> Supplément 2025</w:t>
            </w:r>
            <w:r w:rsidR="00205653">
              <w:rPr>
                <w:sz w:val="18"/>
                <w:szCs w:val="18"/>
                <w:lang w:val="es-AR"/>
              </w:rPr>
              <w:t xml:space="preserve">; </w:t>
            </w:r>
            <w:r w:rsidR="00205653">
              <w:rPr>
                <w:smallCaps/>
                <w:sz w:val="18"/>
                <w:szCs w:val="18"/>
                <w:lang w:val="es-AR"/>
              </w:rPr>
              <w:t>John David McClean</w:t>
            </w:r>
            <w:r w:rsidR="00205653">
              <w:rPr>
                <w:sz w:val="18"/>
                <w:szCs w:val="18"/>
                <w:lang w:val="es-AR"/>
              </w:rPr>
              <w:t>, The Conflict of Laws, 11</w:t>
            </w:r>
            <w:r w:rsidR="00205653">
              <w:rPr>
                <w:sz w:val="18"/>
                <w:szCs w:val="18"/>
                <w:vertAlign w:val="superscript"/>
                <w:lang w:val="es-AR"/>
              </w:rPr>
              <w:t>e</w:t>
            </w:r>
            <w:r w:rsidR="00205653">
              <w:rPr>
                <w:sz w:val="18"/>
                <w:szCs w:val="18"/>
                <w:lang w:val="es-AR"/>
              </w:rPr>
              <w:t xml:space="preserve"> éd. Londres 2025</w:t>
            </w:r>
          </w:p>
          <w:p w14:paraId="034BF47B" w14:textId="1800212C" w:rsidR="00C912A3" w:rsidRPr="00205653" w:rsidRDefault="00C912A3" w:rsidP="008E1EB6">
            <w:pPr>
              <w:jc w:val="both"/>
              <w:rPr>
                <w:sz w:val="18"/>
                <w:szCs w:val="18"/>
                <w:lang w:val="es-AR"/>
              </w:rPr>
            </w:pPr>
            <w:bookmarkStart w:id="6" w:name="_Hlk157786745"/>
            <w:r w:rsidRPr="004834DC">
              <w:rPr>
                <w:i/>
                <w:sz w:val="18"/>
                <w:szCs w:val="18"/>
                <w:lang w:val="es-AR"/>
              </w:rPr>
              <w:t>Etats-Unis d’Amérique :</w:t>
            </w:r>
            <w:r w:rsidRPr="004834DC">
              <w:rPr>
                <w:sz w:val="18"/>
                <w:szCs w:val="18"/>
                <w:lang w:val="es-AR"/>
              </w:rPr>
              <w:t xml:space="preserve"> </w:t>
            </w:r>
            <w:r w:rsidR="00205653">
              <w:rPr>
                <w:smallCaps/>
                <w:sz w:val="18"/>
                <w:szCs w:val="18"/>
                <w:lang w:val="es-AR"/>
              </w:rPr>
              <w:t>Symeon C. Symeonides/Wendy Collins Perdue</w:t>
            </w:r>
            <w:r w:rsidR="00205653">
              <w:rPr>
                <w:sz w:val="18"/>
                <w:szCs w:val="18"/>
                <w:lang w:val="es-AR"/>
              </w:rPr>
              <w:t>, Conflict of Laws: American, Comparative, International, 5</w:t>
            </w:r>
            <w:r w:rsidR="00205653">
              <w:rPr>
                <w:sz w:val="18"/>
                <w:szCs w:val="18"/>
                <w:vertAlign w:val="superscript"/>
                <w:lang w:val="es-AR"/>
              </w:rPr>
              <w:t>e</w:t>
            </w:r>
            <w:r w:rsidR="00205653">
              <w:rPr>
                <w:sz w:val="18"/>
                <w:szCs w:val="18"/>
                <w:lang w:val="es-AR"/>
              </w:rPr>
              <w:t xml:space="preserve"> éd. St. Paul, MN 2024</w:t>
            </w:r>
          </w:p>
          <w:bookmarkEnd w:id="6"/>
          <w:p w14:paraId="62F8A04B" w14:textId="6EDEDE58" w:rsidR="000B5CFB" w:rsidRDefault="00E16420" w:rsidP="008E1EB6">
            <w:pPr>
              <w:jc w:val="both"/>
              <w:rPr>
                <w:sz w:val="18"/>
                <w:szCs w:val="18"/>
                <w:lang w:val="es-AR"/>
              </w:rPr>
            </w:pPr>
            <w:r w:rsidRPr="0026106C">
              <w:rPr>
                <w:i/>
                <w:sz w:val="18"/>
                <w:szCs w:val="18"/>
                <w:lang w:val="es-AR"/>
              </w:rPr>
              <w:t>Pays divers </w:t>
            </w:r>
            <w:r w:rsidRPr="0026106C">
              <w:rPr>
                <w:sz w:val="18"/>
                <w:szCs w:val="18"/>
                <w:lang w:val="es-AR"/>
              </w:rPr>
              <w:t>:</w:t>
            </w:r>
            <w:bookmarkStart w:id="7" w:name="_Hlk80720702"/>
            <w:bookmarkStart w:id="8" w:name="_Hlk102469444"/>
            <w:r w:rsidR="00C9459A">
              <w:rPr>
                <w:sz w:val="18"/>
                <w:szCs w:val="18"/>
                <w:lang w:val="es-AR"/>
              </w:rPr>
              <w:t xml:space="preserve"> </w:t>
            </w:r>
            <w:bookmarkEnd w:id="7"/>
            <w:bookmarkEnd w:id="8"/>
            <w:r w:rsidR="009543BA" w:rsidRPr="009543BA">
              <w:rPr>
                <w:smallCaps/>
                <w:sz w:val="18"/>
                <w:szCs w:val="18"/>
                <w:lang w:val="es-AR"/>
              </w:rPr>
              <w:t>Emre Esen/Melis Av</w:t>
            </w:r>
            <w:r w:rsidR="009543BA" w:rsidRPr="009543BA">
              <w:rPr>
                <w:rFonts w:cs="Times New Roman"/>
                <w:smallCaps/>
                <w:sz w:val="18"/>
                <w:szCs w:val="18"/>
                <w:lang w:val="es-AR"/>
              </w:rPr>
              <w:t>ş</w:t>
            </w:r>
            <w:r w:rsidR="009543BA" w:rsidRPr="009543BA">
              <w:rPr>
                <w:smallCaps/>
                <w:sz w:val="18"/>
                <w:szCs w:val="18"/>
                <w:lang w:val="es-AR"/>
              </w:rPr>
              <w:t>ar</w:t>
            </w:r>
            <w:r w:rsidR="009543BA">
              <w:rPr>
                <w:sz w:val="18"/>
                <w:szCs w:val="18"/>
                <w:lang w:val="es-AR"/>
              </w:rPr>
              <w:t>, Private International Law in Türkije, Istanbul 2024;</w:t>
            </w:r>
            <w:r w:rsidR="003330F7">
              <w:rPr>
                <w:sz w:val="18"/>
                <w:szCs w:val="18"/>
                <w:lang w:val="es-AR"/>
              </w:rPr>
              <w:t xml:space="preserve"> </w:t>
            </w:r>
            <w:r w:rsidR="003330F7">
              <w:rPr>
                <w:smallCaps/>
                <w:sz w:val="18"/>
                <w:szCs w:val="18"/>
                <w:lang w:val="es-AR"/>
              </w:rPr>
              <w:t>Martin Davies</w:t>
            </w:r>
            <w:r w:rsidR="003330F7">
              <w:rPr>
                <w:sz w:val="18"/>
                <w:szCs w:val="18"/>
                <w:lang w:val="es-AR"/>
              </w:rPr>
              <w:t xml:space="preserve"> </w:t>
            </w:r>
            <w:r w:rsidR="003330F7">
              <w:rPr>
                <w:i/>
                <w:iCs/>
                <w:sz w:val="18"/>
                <w:szCs w:val="18"/>
                <w:lang w:val="es-AR"/>
              </w:rPr>
              <w:t>et al.</w:t>
            </w:r>
            <w:r w:rsidR="003330F7">
              <w:rPr>
                <w:sz w:val="18"/>
                <w:szCs w:val="18"/>
                <w:lang w:val="es-AR"/>
              </w:rPr>
              <w:t>, Nygh’s Conflict of Laws in Australia, 11</w:t>
            </w:r>
            <w:r w:rsidR="003330F7">
              <w:rPr>
                <w:sz w:val="18"/>
                <w:szCs w:val="18"/>
                <w:vertAlign w:val="superscript"/>
                <w:lang w:val="es-AR"/>
              </w:rPr>
              <w:t>e</w:t>
            </w:r>
            <w:r w:rsidR="003330F7">
              <w:rPr>
                <w:sz w:val="18"/>
                <w:szCs w:val="18"/>
                <w:lang w:val="es-AR"/>
              </w:rPr>
              <w:t xml:space="preserve"> éd. New York 2025;</w:t>
            </w:r>
            <w:r w:rsidR="009543BA">
              <w:rPr>
                <w:sz w:val="18"/>
                <w:szCs w:val="18"/>
                <w:lang w:val="es-AR"/>
              </w:rPr>
              <w:t xml:space="preserve"> </w:t>
            </w:r>
            <w:r w:rsidR="009543BA">
              <w:rPr>
                <w:smallCaps/>
                <w:sz w:val="18"/>
                <w:szCs w:val="18"/>
                <w:lang w:val="es-AR"/>
              </w:rPr>
              <w:t>Jürgen Samtleben</w:t>
            </w:r>
            <w:r w:rsidR="009543BA">
              <w:rPr>
                <w:sz w:val="18"/>
                <w:szCs w:val="18"/>
                <w:lang w:val="es-AR"/>
              </w:rPr>
              <w:t>, Internationales Privat- und Prozessrecht in Lateinamerika, 2 vol., Düren 2023</w:t>
            </w:r>
          </w:p>
          <w:p w14:paraId="4B90B4EB" w14:textId="40421C81" w:rsidR="009543BA" w:rsidRPr="009543BA" w:rsidRDefault="009543BA" w:rsidP="008E1EB6">
            <w:pPr>
              <w:jc w:val="both"/>
              <w:rPr>
                <w:sz w:val="18"/>
                <w:szCs w:val="18"/>
                <w:lang w:val="es-AR"/>
              </w:rPr>
            </w:pPr>
          </w:p>
        </w:tc>
      </w:tr>
    </w:tbl>
    <w:p w14:paraId="16F6833C" w14:textId="77777777" w:rsidR="00821D24" w:rsidRPr="00E903A4" w:rsidRDefault="00821D24">
      <w:pPr>
        <w:rPr>
          <w:lang w:val="es-AR"/>
        </w:rPr>
      </w:pPr>
    </w:p>
    <w:p w14:paraId="0A155D42" w14:textId="77777777" w:rsidR="00B01373" w:rsidRPr="00E903A4" w:rsidRDefault="00B01373">
      <w:pPr>
        <w:rPr>
          <w:lang w:val="es-AR"/>
        </w:rPr>
      </w:pPr>
    </w:p>
    <w:tbl>
      <w:tblPr>
        <w:tblStyle w:val="Grilledutableau"/>
        <w:tblW w:w="10031" w:type="dxa"/>
        <w:tblLook w:val="04A0" w:firstRow="1" w:lastRow="0" w:firstColumn="1" w:lastColumn="0" w:noHBand="0" w:noVBand="1"/>
      </w:tblPr>
      <w:tblGrid>
        <w:gridCol w:w="10031"/>
      </w:tblGrid>
      <w:tr w:rsidR="008F0DBD" w:rsidRPr="00802EA6" w14:paraId="7E8AF366" w14:textId="77777777" w:rsidTr="008F0DBD">
        <w:tc>
          <w:tcPr>
            <w:tcW w:w="10031" w:type="dxa"/>
          </w:tcPr>
          <w:p w14:paraId="70A752E3" w14:textId="77777777" w:rsidR="008F0DBD" w:rsidRPr="00802EA6" w:rsidRDefault="008F0DBD" w:rsidP="008F0DBD">
            <w:pPr>
              <w:jc w:val="right"/>
              <w:rPr>
                <w:b/>
              </w:rPr>
            </w:pPr>
            <w:r w:rsidRPr="00802EA6">
              <w:rPr>
                <w:b/>
              </w:rPr>
              <w:t>Art. 1-200</w:t>
            </w:r>
          </w:p>
          <w:p w14:paraId="5E23CB38" w14:textId="77777777" w:rsidR="008F0DBD" w:rsidRPr="00802EA6" w:rsidRDefault="008F0DBD" w:rsidP="008F0DBD">
            <w:pPr>
              <w:jc w:val="center"/>
              <w:rPr>
                <w:b/>
              </w:rPr>
            </w:pPr>
            <w:r w:rsidRPr="00802EA6">
              <w:rPr>
                <w:b/>
              </w:rPr>
              <w:t>Introduction</w:t>
            </w:r>
          </w:p>
          <w:p w14:paraId="3585DD31" w14:textId="2DE95D58" w:rsidR="00B61C6C" w:rsidRDefault="00B61C6C" w:rsidP="00B61C6C">
            <w:pPr>
              <w:pStyle w:val="Intro"/>
              <w:spacing w:line="240" w:lineRule="auto"/>
              <w:rPr>
                <w:sz w:val="22"/>
                <w:szCs w:val="22"/>
                <w:lang w:val="fr-CH"/>
              </w:rPr>
            </w:pPr>
            <w:r w:rsidRPr="0082712C">
              <w:rPr>
                <w:b/>
                <w:bCs/>
                <w:sz w:val="22"/>
                <w:szCs w:val="22"/>
                <w:lang w:val="fr-CH"/>
              </w:rPr>
              <w:t>4</w:t>
            </w:r>
          </w:p>
          <w:p w14:paraId="07170C31" w14:textId="5C382CF6" w:rsidR="00242097" w:rsidRPr="00242097" w:rsidRDefault="00242097" w:rsidP="00B61C6C">
            <w:pPr>
              <w:pStyle w:val="Intro"/>
              <w:spacing w:line="240" w:lineRule="auto"/>
              <w:rPr>
                <w:sz w:val="22"/>
                <w:szCs w:val="22"/>
                <w:lang w:val="fr-CH"/>
              </w:rPr>
            </w:pPr>
            <w:r>
              <w:rPr>
                <w:sz w:val="22"/>
                <w:szCs w:val="22"/>
                <w:lang w:val="fr-CH"/>
              </w:rPr>
              <w:t>18/19</w:t>
            </w:r>
            <w:r>
              <w:rPr>
                <w:sz w:val="22"/>
                <w:szCs w:val="22"/>
                <w:vertAlign w:val="superscript"/>
                <w:lang w:val="fr-CH"/>
              </w:rPr>
              <w:t>e</w:t>
            </w:r>
            <w:r>
              <w:rPr>
                <w:sz w:val="22"/>
                <w:szCs w:val="22"/>
                <w:lang w:val="fr-CH"/>
              </w:rPr>
              <w:t xml:space="preserve"> lignes : Biffer la phrase : « Une nouvelle règle de compétence en matière d’actions collectives est à l’étude (art. 8d). »</w:t>
            </w:r>
          </w:p>
          <w:p w14:paraId="7F476C2C" w14:textId="3CCC1E29" w:rsidR="009E4413" w:rsidRDefault="009E4413" w:rsidP="00B61C6C">
            <w:pPr>
              <w:jc w:val="both"/>
              <w:rPr>
                <w:szCs w:val="22"/>
              </w:rPr>
            </w:pPr>
            <w:r>
              <w:rPr>
                <w:szCs w:val="22"/>
              </w:rPr>
              <w:t>21</w:t>
            </w:r>
            <w:r>
              <w:rPr>
                <w:szCs w:val="22"/>
                <w:vertAlign w:val="superscript"/>
              </w:rPr>
              <w:t>e</w:t>
            </w:r>
            <w:r>
              <w:rPr>
                <w:szCs w:val="22"/>
              </w:rPr>
              <w:t xml:space="preserve"> ligne, insérer : Dans un autre domaine, celui de l’entraide civile, un remaniement conséquent a été effectué (art. 11).</w:t>
            </w:r>
          </w:p>
          <w:p w14:paraId="1CAA6AEF" w14:textId="792A9553" w:rsidR="00A91E2E" w:rsidRDefault="00A91E2E" w:rsidP="00B61C6C">
            <w:pPr>
              <w:jc w:val="both"/>
              <w:rPr>
                <w:szCs w:val="22"/>
              </w:rPr>
            </w:pPr>
            <w:r>
              <w:rPr>
                <w:b/>
                <w:bCs/>
                <w:szCs w:val="22"/>
              </w:rPr>
              <w:t>11a</w:t>
            </w:r>
          </w:p>
          <w:p w14:paraId="6FF47FDB" w14:textId="021FED4C" w:rsidR="00A91E2E" w:rsidRPr="00A91E2E" w:rsidRDefault="00A91E2E" w:rsidP="00B61C6C">
            <w:pPr>
              <w:jc w:val="both"/>
              <w:rPr>
                <w:szCs w:val="22"/>
              </w:rPr>
            </w:pPr>
            <w:r>
              <w:rPr>
                <w:szCs w:val="22"/>
              </w:rPr>
              <w:t>En sus et en parallèle à ces instruments plutôt traditionnels est venu se superposer les principes et fondements créés par le traité de l’UE qui obligent les Etats membres, dans la création et l’application des règles qui relèvent de leur compétence, de respecter le droit de l’Union et, en particulier, les dispositions du traité relatives au droit reconnu a tout citoyen de l’Union de circuler et de séjourner sur le territoires des Etats membres, en reconnaissant, à cette fin, l’état des personnes établi dans un autre Etat membre conformément au droit de celui-ci.</w:t>
            </w:r>
            <w:r w:rsidR="00FE3ECA">
              <w:rPr>
                <w:szCs w:val="22"/>
              </w:rPr>
              <w:t xml:space="preserve"> L’application de ces principes s’est faite prioritairement en matière de nom de famille (cf. art. 37 n° 3), d’identité du genre (cf. art. 40a n° </w:t>
            </w:r>
            <w:r w:rsidR="00A71489">
              <w:rPr>
                <w:szCs w:val="22"/>
              </w:rPr>
              <w:t>33)</w:t>
            </w:r>
            <w:r w:rsidR="001B0A9C">
              <w:rPr>
                <w:szCs w:val="22"/>
              </w:rPr>
              <w:t>, de mariage entre personnes du même sexe (cf. art. 43-65 n° 4)</w:t>
            </w:r>
            <w:r w:rsidR="00A71489">
              <w:rPr>
                <w:szCs w:val="22"/>
              </w:rPr>
              <w:t xml:space="preserve"> et, plus récemment, de contrat de mariage (cf. art. 51-58 n° 3).</w:t>
            </w:r>
          </w:p>
          <w:p w14:paraId="51C16831" w14:textId="42462471" w:rsidR="003C4A12" w:rsidRPr="00802EA6" w:rsidRDefault="003C4A12">
            <w:r w:rsidRPr="00802EA6">
              <w:rPr>
                <w:b/>
              </w:rPr>
              <w:t>1</w:t>
            </w:r>
            <w:r w:rsidR="002F76A1">
              <w:rPr>
                <w:b/>
              </w:rPr>
              <w:t>5</w:t>
            </w:r>
          </w:p>
          <w:p w14:paraId="01A92E2C" w14:textId="77777777" w:rsidR="003C4A12" w:rsidRPr="00802EA6" w:rsidRDefault="003C4A12" w:rsidP="003C4A12">
            <w:pPr>
              <w:jc w:val="both"/>
            </w:pPr>
          </w:p>
          <w:p w14:paraId="525CEF7A" w14:textId="2DEEA298" w:rsidR="001F75C0" w:rsidRDefault="003C4A12" w:rsidP="003C4A12">
            <w:pPr>
              <w:ind w:left="567"/>
              <w:jc w:val="both"/>
              <w:rPr>
                <w:i/>
              </w:rPr>
            </w:pPr>
            <w:r w:rsidRPr="004140C1">
              <w:rPr>
                <w:i/>
              </w:rPr>
              <w:t xml:space="preserve">Pour connaître l’état actuel des travaux de la Conférence, on consultera, sur son site, les Conclusions et </w:t>
            </w:r>
            <w:r w:rsidR="00ED6FAD">
              <w:rPr>
                <w:i/>
              </w:rPr>
              <w:t xml:space="preserve">Décisions </w:t>
            </w:r>
            <w:r w:rsidRPr="004140C1">
              <w:rPr>
                <w:i/>
              </w:rPr>
              <w:t>du Conseil sur les affaires générales et la politique de la Conférence (</w:t>
            </w:r>
            <w:r w:rsidR="00ED6FAD">
              <w:rPr>
                <w:i/>
              </w:rPr>
              <w:t xml:space="preserve">CAGP - </w:t>
            </w:r>
            <w:r w:rsidR="008D0160" w:rsidRPr="004140C1">
              <w:rPr>
                <w:i/>
              </w:rPr>
              <w:t xml:space="preserve">mars </w:t>
            </w:r>
            <w:r w:rsidRPr="004140C1">
              <w:rPr>
                <w:i/>
              </w:rPr>
              <w:t>20</w:t>
            </w:r>
            <w:r w:rsidR="00ED6FAD">
              <w:rPr>
                <w:i/>
              </w:rPr>
              <w:t>2</w:t>
            </w:r>
            <w:r w:rsidR="00804BEF">
              <w:rPr>
                <w:i/>
              </w:rPr>
              <w:t>6</w:t>
            </w:r>
            <w:r w:rsidRPr="004140C1">
              <w:rPr>
                <w:i/>
              </w:rPr>
              <w:t xml:space="preserve">). </w:t>
            </w:r>
            <w:r w:rsidR="006F1FD9" w:rsidRPr="004140C1">
              <w:rPr>
                <w:i/>
              </w:rPr>
              <w:t>Elles</w:t>
            </w:r>
            <w:r w:rsidRPr="004140C1">
              <w:rPr>
                <w:i/>
              </w:rPr>
              <w:t xml:space="preserve"> sont consacré</w:t>
            </w:r>
            <w:r w:rsidR="006F1FD9" w:rsidRPr="004140C1">
              <w:rPr>
                <w:i/>
              </w:rPr>
              <w:t>e</w:t>
            </w:r>
            <w:r w:rsidRPr="004140C1">
              <w:rPr>
                <w:i/>
              </w:rPr>
              <w:t>s principalement au « suivi » des conventions, à savoir l’analyse de leur fonctionnement et l’assistance technique fournie pour leur mise en œuvre.</w:t>
            </w:r>
            <w:r w:rsidR="00A80F69" w:rsidRPr="004140C1">
              <w:rPr>
                <w:i/>
              </w:rPr>
              <w:t xml:space="preserve"> La prochaine réunion du Conseil est prévue </w:t>
            </w:r>
            <w:r w:rsidR="006E5072">
              <w:rPr>
                <w:i/>
              </w:rPr>
              <w:t xml:space="preserve">en </w:t>
            </w:r>
            <w:r w:rsidR="00A6069F">
              <w:rPr>
                <w:i/>
              </w:rPr>
              <w:t xml:space="preserve">mars </w:t>
            </w:r>
            <w:r w:rsidR="006E5072">
              <w:rPr>
                <w:i/>
              </w:rPr>
              <w:t>20</w:t>
            </w:r>
            <w:r w:rsidR="005A645C">
              <w:rPr>
                <w:i/>
              </w:rPr>
              <w:t>2</w:t>
            </w:r>
            <w:r w:rsidR="00804BEF">
              <w:rPr>
                <w:i/>
              </w:rPr>
              <w:t>7</w:t>
            </w:r>
            <w:r w:rsidR="00A80F69" w:rsidRPr="004140C1">
              <w:rPr>
                <w:i/>
              </w:rPr>
              <w:t>.</w:t>
            </w:r>
            <w:r w:rsidR="005338B6">
              <w:rPr>
                <w:i/>
              </w:rPr>
              <w:t xml:space="preserve"> A plus long terme, on s’achemine vers une structure de coopération tripartite HCCH-CNUDCI-UNIDROIT.</w:t>
            </w:r>
          </w:p>
          <w:p w14:paraId="0B9B69AA" w14:textId="64315C6C" w:rsidR="006D091D" w:rsidRDefault="006D091D" w:rsidP="003C4A12">
            <w:pPr>
              <w:ind w:left="567"/>
              <w:jc w:val="both"/>
              <w:rPr>
                <w:i/>
              </w:rPr>
            </w:pPr>
          </w:p>
          <w:p w14:paraId="321BDC10" w14:textId="2A52A81C" w:rsidR="005338B6" w:rsidRPr="002A674D" w:rsidRDefault="008C6DB5" w:rsidP="005338B6">
            <w:pPr>
              <w:ind w:left="567"/>
              <w:jc w:val="both"/>
              <w:rPr>
                <w:i/>
                <w:iCs/>
                <w:lang w:val="fr-FR"/>
              </w:rPr>
            </w:pPr>
            <w:r>
              <w:rPr>
                <w:rFonts w:cs="Times New Roman"/>
                <w:i/>
                <w:szCs w:val="22"/>
              </w:rPr>
              <w:t>La Conférence a vu s'accroître considérablement les travaux dits post-conventionnels, consistant à observer les expériences pratiques et les besoins de renouveau, surtout dans la perspective d’un monde digitalisé. La rédaction de Guides pratiques, qui était à la mode il y a quelque temps, comme si la Conférence devait servir de référence prioritaire à l’application des Conventions par les Etats</w:t>
            </w:r>
            <w:r w:rsidR="00104F7C">
              <w:rPr>
                <w:rFonts w:cs="Times New Roman"/>
                <w:i/>
                <w:szCs w:val="22"/>
              </w:rPr>
              <w:t xml:space="preserve">, n’est plus une activité de premier plan. </w:t>
            </w:r>
            <w:r w:rsidR="002A674D">
              <w:rPr>
                <w:rFonts w:cs="Times New Roman"/>
                <w:i/>
                <w:szCs w:val="22"/>
              </w:rPr>
              <w:t>La réunion de groupes d’experts et de travaux passe dorénavant au niveau prioritaire.</w:t>
            </w:r>
            <w:r w:rsidR="00F04326">
              <w:rPr>
                <w:rFonts w:cs="Times New Roman"/>
                <w:i/>
                <w:szCs w:val="22"/>
              </w:rPr>
              <w:t xml:space="preserve"> On mentionnera, surtout, la Convention adoption de 1993, les Conventions enlèvement d’enfants de 1980 et de protection des enfants de 1996, ainsi que celle sur le recouvrement des aliments de 2007. Les Conventions sur la procédur</w:t>
            </w:r>
            <w:r w:rsidR="005338B6">
              <w:rPr>
                <w:rFonts w:cs="Times New Roman"/>
                <w:i/>
                <w:szCs w:val="22"/>
              </w:rPr>
              <w:t>e</w:t>
            </w:r>
            <w:r w:rsidR="00F04326">
              <w:rPr>
                <w:rFonts w:cs="Times New Roman"/>
                <w:i/>
                <w:szCs w:val="22"/>
              </w:rPr>
              <w:t xml:space="preserve"> civile internationale font l’objet d’un regard permanent. </w:t>
            </w:r>
            <w:r w:rsidR="005338B6">
              <w:rPr>
                <w:rFonts w:cs="Times New Roman"/>
                <w:i/>
                <w:szCs w:val="22"/>
              </w:rPr>
              <w:t xml:space="preserve">En revanche, </w:t>
            </w:r>
            <w:r w:rsidR="005338B6" w:rsidRPr="002A674D">
              <w:rPr>
                <w:i/>
                <w:iCs/>
              </w:rPr>
              <w:t>le</w:t>
            </w:r>
            <w:r w:rsidR="005338B6">
              <w:rPr>
                <w:i/>
                <w:iCs/>
              </w:rPr>
              <w:t xml:space="preserve"> </w:t>
            </w:r>
            <w:r w:rsidR="005338B6" w:rsidRPr="002A674D">
              <w:rPr>
                <w:i/>
                <w:iCs/>
              </w:rPr>
              <w:t xml:space="preserve">Processus de Malte, </w:t>
            </w:r>
            <w:r w:rsidR="005338B6">
              <w:rPr>
                <w:i/>
                <w:iCs/>
              </w:rPr>
              <w:t xml:space="preserve">portant sur les </w:t>
            </w:r>
            <w:r w:rsidR="005338B6" w:rsidRPr="002A674D">
              <w:rPr>
                <w:i/>
                <w:iCs/>
              </w:rPr>
              <w:t>Conventions de la HCCH relatives aux enfants en tant que passerelles entre le droit civil, la common law et le droit islamique</w:t>
            </w:r>
            <w:r w:rsidR="005338B6">
              <w:rPr>
                <w:i/>
                <w:iCs/>
              </w:rPr>
              <w:t>, n’a plus été mentionné.</w:t>
            </w:r>
          </w:p>
          <w:p w14:paraId="16A8AEAF" w14:textId="71D6219C" w:rsidR="00104F7C" w:rsidRPr="005338B6" w:rsidRDefault="00104F7C" w:rsidP="001C7BA2">
            <w:pPr>
              <w:pStyle w:val="Default"/>
              <w:ind w:left="567"/>
              <w:jc w:val="both"/>
              <w:rPr>
                <w:rFonts w:ascii="Times New Roman" w:hAnsi="Times New Roman" w:cs="Times New Roman"/>
                <w:i/>
                <w:sz w:val="22"/>
                <w:szCs w:val="22"/>
                <w:lang w:val="fr-FR"/>
              </w:rPr>
            </w:pPr>
          </w:p>
          <w:p w14:paraId="2DF5963B" w14:textId="400D362F" w:rsidR="006E5072" w:rsidRPr="004140C1" w:rsidRDefault="006E5072" w:rsidP="006E5072">
            <w:pPr>
              <w:ind w:left="567"/>
              <w:jc w:val="both"/>
              <w:rPr>
                <w:i/>
              </w:rPr>
            </w:pPr>
            <w:r w:rsidRPr="00ED21FB">
              <w:rPr>
                <w:rFonts w:cs="Times New Roman"/>
                <w:i/>
                <w:szCs w:val="22"/>
              </w:rPr>
              <w:t xml:space="preserve">En matière de filiation, le </w:t>
            </w:r>
            <w:r w:rsidR="001C7BA2">
              <w:rPr>
                <w:rFonts w:cs="Times New Roman"/>
                <w:i/>
                <w:szCs w:val="22"/>
              </w:rPr>
              <w:t xml:space="preserve">Groupe chargé </w:t>
            </w:r>
            <w:r w:rsidRPr="00ED21FB">
              <w:rPr>
                <w:rFonts w:cs="Times New Roman"/>
                <w:i/>
                <w:szCs w:val="22"/>
              </w:rPr>
              <w:t xml:space="preserve">de travaux consacrés à l’élaboration </w:t>
            </w:r>
            <w:r w:rsidR="0033487A">
              <w:rPr>
                <w:rFonts w:cs="Times New Roman"/>
                <w:i/>
                <w:szCs w:val="22"/>
              </w:rPr>
              <w:t>d’</w:t>
            </w:r>
            <w:r w:rsidRPr="00ED21FB">
              <w:rPr>
                <w:rFonts w:cs="Times New Roman"/>
                <w:i/>
                <w:szCs w:val="22"/>
              </w:rPr>
              <w:t xml:space="preserve">un instrument général de droit international privé traitant de la reconnaissance des décisions judiciaires étrangères portant sur la filiation, </w:t>
            </w:r>
            <w:r w:rsidR="00C96036">
              <w:rPr>
                <w:rFonts w:cs="Times New Roman"/>
                <w:i/>
                <w:szCs w:val="22"/>
              </w:rPr>
              <w:t xml:space="preserve">complété par </w:t>
            </w:r>
            <w:r w:rsidRPr="00ED21FB">
              <w:rPr>
                <w:rFonts w:cs="Times New Roman"/>
                <w:i/>
                <w:szCs w:val="22"/>
              </w:rPr>
              <w:t>un protocole distinct traitant de la reconnaissance des décisions judiciaires étrangères en matière de filiation résultant d</w:t>
            </w:r>
            <w:r w:rsidR="00870D2F">
              <w:rPr>
                <w:rFonts w:cs="Times New Roman"/>
                <w:i/>
                <w:szCs w:val="22"/>
              </w:rPr>
              <w:t>’une</w:t>
            </w:r>
            <w:r w:rsidRPr="00ED21FB">
              <w:rPr>
                <w:rFonts w:cs="Times New Roman"/>
                <w:i/>
                <w:szCs w:val="22"/>
              </w:rPr>
              <w:t xml:space="preserve"> convention de maternité de substitution à caractère international</w:t>
            </w:r>
            <w:r w:rsidR="0033487A">
              <w:rPr>
                <w:rFonts w:cs="Times New Roman"/>
                <w:i/>
                <w:szCs w:val="22"/>
              </w:rPr>
              <w:t xml:space="preserve">, </w:t>
            </w:r>
            <w:r w:rsidR="00D515CA">
              <w:rPr>
                <w:rFonts w:cs="Times New Roman"/>
                <w:i/>
                <w:szCs w:val="22"/>
              </w:rPr>
              <w:t>a</w:t>
            </w:r>
            <w:r w:rsidR="005A645C">
              <w:rPr>
                <w:rFonts w:cs="Times New Roman"/>
                <w:i/>
                <w:szCs w:val="22"/>
              </w:rPr>
              <w:t xml:space="preserve"> fourni </w:t>
            </w:r>
            <w:r w:rsidR="00804BEF">
              <w:rPr>
                <w:rFonts w:cs="Times New Roman"/>
                <w:i/>
                <w:szCs w:val="22"/>
              </w:rPr>
              <w:t>son</w:t>
            </w:r>
            <w:r w:rsidR="0033487A">
              <w:rPr>
                <w:rFonts w:cs="Times New Roman"/>
                <w:i/>
                <w:szCs w:val="22"/>
              </w:rPr>
              <w:t xml:space="preserve"> rapport</w:t>
            </w:r>
            <w:r w:rsidR="00804BEF">
              <w:rPr>
                <w:rFonts w:cs="Times New Roman"/>
                <w:i/>
                <w:szCs w:val="22"/>
              </w:rPr>
              <w:t xml:space="preserve"> final</w:t>
            </w:r>
            <w:r w:rsidR="0033487A">
              <w:rPr>
                <w:rFonts w:cs="Times New Roman"/>
                <w:i/>
                <w:szCs w:val="22"/>
              </w:rPr>
              <w:t xml:space="preserve"> </w:t>
            </w:r>
            <w:r w:rsidR="00804BEF">
              <w:rPr>
                <w:rFonts w:cs="Times New Roman"/>
                <w:i/>
                <w:szCs w:val="22"/>
              </w:rPr>
              <w:t>en</w:t>
            </w:r>
            <w:r w:rsidR="005A645C">
              <w:rPr>
                <w:rFonts w:cs="Times New Roman"/>
                <w:i/>
                <w:szCs w:val="22"/>
              </w:rPr>
              <w:t xml:space="preserve"> 202</w:t>
            </w:r>
            <w:r w:rsidR="00804BEF">
              <w:rPr>
                <w:rFonts w:cs="Times New Roman"/>
                <w:i/>
                <w:szCs w:val="22"/>
              </w:rPr>
              <w:t>6</w:t>
            </w:r>
            <w:r w:rsidRPr="00ED21FB">
              <w:rPr>
                <w:rFonts w:cs="Times New Roman"/>
                <w:i/>
                <w:szCs w:val="22"/>
              </w:rPr>
              <w:t xml:space="preserve">. </w:t>
            </w:r>
            <w:r w:rsidR="00D40D43">
              <w:rPr>
                <w:i/>
              </w:rPr>
              <w:t>C</w:t>
            </w:r>
            <w:r w:rsidR="0033487A">
              <w:rPr>
                <w:i/>
              </w:rPr>
              <w:t>e rapport dev</w:t>
            </w:r>
            <w:r w:rsidR="00D515CA">
              <w:rPr>
                <w:i/>
              </w:rPr>
              <w:t>ait</w:t>
            </w:r>
            <w:r w:rsidR="0033487A">
              <w:rPr>
                <w:i/>
              </w:rPr>
              <w:t xml:space="preserve"> fournir une « évaluation rigoureuse et équilibrée de la possibilité d’élaborer un ou plusieurs instruments de droit international privé</w:t>
            </w:r>
            <w:r w:rsidR="00D40D43">
              <w:rPr>
                <w:i/>
              </w:rPr>
              <w:t> »</w:t>
            </w:r>
            <w:r w:rsidR="0033487A">
              <w:rPr>
                <w:i/>
              </w:rPr>
              <w:t>.</w:t>
            </w:r>
            <w:r w:rsidR="002A674D">
              <w:rPr>
                <w:i/>
              </w:rPr>
              <w:t xml:space="preserve"> </w:t>
            </w:r>
            <w:r w:rsidR="00804BEF">
              <w:rPr>
                <w:i/>
              </w:rPr>
              <w:t>En mars 2026, le CAPD a décidé de clore les travaux du Groupe et de charger le Bureau permanent de présenter une Mise à jour au CAGP avant sa réunion de 2028.</w:t>
            </w:r>
            <w:r w:rsidR="006B6FC1">
              <w:rPr>
                <w:i/>
              </w:rPr>
              <w:t xml:space="preserve"> </w:t>
            </w:r>
            <w:r>
              <w:rPr>
                <w:rFonts w:cs="Times New Roman"/>
                <w:i/>
                <w:szCs w:val="22"/>
              </w:rPr>
              <w:t xml:space="preserve">Compte tenu du fait que les travaux sur ce thème ont été </w:t>
            </w:r>
            <w:r w:rsidRPr="006E5072">
              <w:rPr>
                <w:rFonts w:cs="Times New Roman"/>
                <w:i/>
                <w:szCs w:val="22"/>
              </w:rPr>
              <w:t>entamés en 201</w:t>
            </w:r>
            <w:r w:rsidR="00FF3860">
              <w:rPr>
                <w:rFonts w:cs="Times New Roman"/>
                <w:i/>
                <w:szCs w:val="22"/>
              </w:rPr>
              <w:t>0</w:t>
            </w:r>
            <w:r w:rsidRPr="006E5072">
              <w:rPr>
                <w:rFonts w:cs="Times New Roman"/>
                <w:i/>
                <w:szCs w:val="22"/>
              </w:rPr>
              <w:t xml:space="preserve"> déjà</w:t>
            </w:r>
            <w:r>
              <w:rPr>
                <w:rFonts w:cs="Times New Roman"/>
                <w:i/>
                <w:szCs w:val="22"/>
              </w:rPr>
              <w:t xml:space="preserve"> et qu</w:t>
            </w:r>
            <w:r w:rsidR="00804BEF">
              <w:rPr>
                <w:rFonts w:cs="Times New Roman"/>
                <w:i/>
                <w:szCs w:val="22"/>
              </w:rPr>
              <w:t>’en 2026,</w:t>
            </w:r>
            <w:r>
              <w:rPr>
                <w:rFonts w:cs="Times New Roman"/>
                <w:i/>
                <w:szCs w:val="22"/>
              </w:rPr>
              <w:t xml:space="preserve"> on </w:t>
            </w:r>
            <w:r w:rsidR="00804BEF">
              <w:rPr>
                <w:rFonts w:cs="Times New Roman"/>
                <w:i/>
                <w:szCs w:val="22"/>
              </w:rPr>
              <w:t>n’</w:t>
            </w:r>
            <w:r>
              <w:rPr>
                <w:rFonts w:cs="Times New Roman"/>
                <w:i/>
                <w:szCs w:val="22"/>
              </w:rPr>
              <w:t xml:space="preserve">est </w:t>
            </w:r>
            <w:r w:rsidR="00804BEF">
              <w:rPr>
                <w:rFonts w:cs="Times New Roman"/>
                <w:i/>
                <w:szCs w:val="22"/>
              </w:rPr>
              <w:t xml:space="preserve">pas parvenu plus loin qu’un </w:t>
            </w:r>
            <w:r>
              <w:rPr>
                <w:rFonts w:cs="Times New Roman"/>
                <w:i/>
                <w:szCs w:val="22"/>
              </w:rPr>
              <w:t xml:space="preserve">rapport </w:t>
            </w:r>
            <w:r w:rsidR="00804BEF">
              <w:rPr>
                <w:rFonts w:cs="Times New Roman"/>
                <w:i/>
                <w:szCs w:val="22"/>
              </w:rPr>
              <w:t xml:space="preserve">(négatif) </w:t>
            </w:r>
            <w:r>
              <w:rPr>
                <w:rFonts w:cs="Times New Roman"/>
                <w:i/>
                <w:szCs w:val="22"/>
              </w:rPr>
              <w:t xml:space="preserve">de faisabilité par un groupe d’experts, il ne faut pas s’attendre à ce qu’un </w:t>
            </w:r>
            <w:r w:rsidRPr="004140C1">
              <w:rPr>
                <w:i/>
              </w:rPr>
              <w:t xml:space="preserve">texte de quelque importance </w:t>
            </w:r>
            <w:r>
              <w:rPr>
                <w:i/>
              </w:rPr>
              <w:t xml:space="preserve">soit </w:t>
            </w:r>
            <w:r w:rsidRPr="004140C1">
              <w:rPr>
                <w:i/>
              </w:rPr>
              <w:t>produit par la Conférence dans un avenir pr</w:t>
            </w:r>
            <w:r w:rsidR="00FF3860">
              <w:rPr>
                <w:i/>
              </w:rPr>
              <w:t>évisible</w:t>
            </w:r>
            <w:r w:rsidRPr="004140C1">
              <w:rPr>
                <w:i/>
              </w:rPr>
              <w:t>.</w:t>
            </w:r>
            <w:r w:rsidR="00D515CA">
              <w:rPr>
                <w:i/>
              </w:rPr>
              <w:t xml:space="preserve"> </w:t>
            </w:r>
            <w:r w:rsidR="00804BEF">
              <w:rPr>
                <w:i/>
              </w:rPr>
              <w:t xml:space="preserve">Cet échec est d’ailleurs lié </w:t>
            </w:r>
            <w:r w:rsidR="006B6FC1">
              <w:rPr>
                <w:i/>
              </w:rPr>
              <w:t xml:space="preserve">par la présentation, par la Commission de </w:t>
            </w:r>
            <w:r w:rsidR="00104F7C">
              <w:rPr>
                <w:i/>
              </w:rPr>
              <w:t>l’Union européenne</w:t>
            </w:r>
            <w:r w:rsidR="00245738">
              <w:rPr>
                <w:i/>
              </w:rPr>
              <w:t>,</w:t>
            </w:r>
            <w:r w:rsidR="00104F7C">
              <w:rPr>
                <w:i/>
              </w:rPr>
              <w:t xml:space="preserve"> </w:t>
            </w:r>
            <w:r w:rsidR="006B6FC1">
              <w:rPr>
                <w:i/>
              </w:rPr>
              <w:t>d’un</w:t>
            </w:r>
            <w:r w:rsidR="00104F7C">
              <w:rPr>
                <w:i/>
              </w:rPr>
              <w:t xml:space="preserve"> projet de règlement sur la parentalité, avec lequel elle compt</w:t>
            </w:r>
            <w:r w:rsidR="006B6FC1">
              <w:rPr>
                <w:i/>
              </w:rPr>
              <w:t>ait</w:t>
            </w:r>
            <w:r w:rsidR="00104F7C">
              <w:rPr>
                <w:i/>
              </w:rPr>
              <w:t xml:space="preserve"> peser lourdement sur l’avancement des travaux de la Conférence</w:t>
            </w:r>
            <w:r w:rsidR="006B6FC1">
              <w:rPr>
                <w:i/>
              </w:rPr>
              <w:t>, jusqu’à en provoquer leur naufrage.</w:t>
            </w:r>
          </w:p>
          <w:p w14:paraId="41910E74" w14:textId="77777777" w:rsidR="006E5072" w:rsidRPr="00ED21FB" w:rsidRDefault="006E5072" w:rsidP="006E5072">
            <w:pPr>
              <w:pStyle w:val="Default"/>
              <w:ind w:left="567"/>
              <w:jc w:val="both"/>
              <w:rPr>
                <w:rFonts w:ascii="Times New Roman" w:hAnsi="Times New Roman" w:cs="Times New Roman"/>
                <w:i/>
                <w:sz w:val="22"/>
                <w:szCs w:val="22"/>
              </w:rPr>
            </w:pPr>
          </w:p>
          <w:p w14:paraId="548A1CA5" w14:textId="20846916" w:rsidR="00104558" w:rsidRDefault="00870D2F" w:rsidP="002A674D">
            <w:pPr>
              <w:ind w:left="567"/>
              <w:jc w:val="both"/>
              <w:rPr>
                <w:i/>
              </w:rPr>
            </w:pPr>
            <w:r>
              <w:rPr>
                <w:rFonts w:cs="Times New Roman"/>
                <w:i/>
                <w:color w:val="000000"/>
                <w:szCs w:val="22"/>
              </w:rPr>
              <w:t>Dans le prolongement de l’achèvement de la Convention Jugement de 2019,</w:t>
            </w:r>
            <w:r w:rsidR="001C7BA2">
              <w:rPr>
                <w:rFonts w:cs="Times New Roman"/>
                <w:i/>
                <w:color w:val="000000"/>
                <w:szCs w:val="22"/>
              </w:rPr>
              <w:t xml:space="preserve"> un Groupe de travail </w:t>
            </w:r>
            <w:r w:rsidR="006B6FC1">
              <w:rPr>
                <w:rFonts w:cs="Times New Roman"/>
                <w:i/>
                <w:color w:val="000000"/>
                <w:szCs w:val="22"/>
              </w:rPr>
              <w:t>était</w:t>
            </w:r>
            <w:r w:rsidR="001C7BA2">
              <w:rPr>
                <w:rFonts w:cs="Times New Roman"/>
                <w:i/>
                <w:color w:val="000000"/>
                <w:szCs w:val="22"/>
              </w:rPr>
              <w:t xml:space="preserve"> chargé d’élaborer des projets de dispositions sur les questions relatives à la compétence en matière ci</w:t>
            </w:r>
            <w:r w:rsidR="001C7BA2">
              <w:rPr>
                <w:rFonts w:cs="Times New Roman"/>
                <w:i/>
                <w:color w:val="000000"/>
                <w:szCs w:val="22"/>
              </w:rPr>
              <w:lastRenderedPageBreak/>
              <w:t>vile et commerciale, notamment des règles sur les procédures concurrentes.</w:t>
            </w:r>
            <w:r w:rsidR="002A674D">
              <w:rPr>
                <w:rFonts w:cs="Times New Roman"/>
                <w:b/>
                <w:bCs/>
                <w:i/>
                <w:color w:val="000000"/>
                <w:szCs w:val="22"/>
              </w:rPr>
              <w:t xml:space="preserve"> </w:t>
            </w:r>
            <w:r w:rsidR="002A674D" w:rsidRPr="002A674D">
              <w:rPr>
                <w:rFonts w:cs="Times New Roman"/>
                <w:i/>
                <w:color w:val="000000"/>
                <w:szCs w:val="22"/>
              </w:rPr>
              <w:t xml:space="preserve">Le Bureau Permanent </w:t>
            </w:r>
            <w:r w:rsidR="006B6FC1">
              <w:rPr>
                <w:rFonts w:cs="Times New Roman"/>
                <w:i/>
                <w:color w:val="000000"/>
                <w:szCs w:val="22"/>
              </w:rPr>
              <w:t xml:space="preserve">a </w:t>
            </w:r>
            <w:r w:rsidR="002A674D" w:rsidRPr="002A674D">
              <w:rPr>
                <w:i/>
              </w:rPr>
              <w:t>organis</w:t>
            </w:r>
            <w:r w:rsidR="006B6FC1">
              <w:rPr>
                <w:i/>
              </w:rPr>
              <w:t>é</w:t>
            </w:r>
            <w:r w:rsidR="002A674D" w:rsidRPr="002A674D">
              <w:rPr>
                <w:i/>
              </w:rPr>
              <w:t xml:space="preserve"> un processus de consultation écrite ouvert et inclusif en vue de recueillir les observations des futurs opérateurs de la Convention telle qu’elle est envisagée.</w:t>
            </w:r>
            <w:r w:rsidR="006B6FC1">
              <w:rPr>
                <w:i/>
              </w:rPr>
              <w:t xml:space="preserve"> Après l’analyse des réponses reçues, la CAGP confirmera en 2027 si le Projet sur la compétence doit être porté devant une Commission spéciale.</w:t>
            </w:r>
          </w:p>
          <w:p w14:paraId="591FA700" w14:textId="77777777" w:rsidR="002A674D" w:rsidRDefault="002A674D" w:rsidP="002A674D">
            <w:pPr>
              <w:jc w:val="both"/>
              <w:rPr>
                <w:i/>
              </w:rPr>
            </w:pPr>
          </w:p>
          <w:p w14:paraId="26B416EA" w14:textId="53840E3B" w:rsidR="006B6FC1" w:rsidRDefault="002A674D" w:rsidP="002A674D">
            <w:pPr>
              <w:ind w:left="567"/>
              <w:jc w:val="both"/>
              <w:rPr>
                <w:i/>
                <w:iCs/>
              </w:rPr>
            </w:pPr>
            <w:r w:rsidRPr="002A674D">
              <w:rPr>
                <w:i/>
                <w:iCs/>
              </w:rPr>
              <w:t>Parmi les autres initiatives saluées par le CAGP figurent</w:t>
            </w:r>
            <w:r w:rsidR="006B6FC1">
              <w:rPr>
                <w:i/>
                <w:iCs/>
              </w:rPr>
              <w:t xml:space="preserve"> les travaux sur les Monnaies numériques de banque centrale (MNBC), la loi applicable aux Marchés du carbone, les jetons numériques ainsi que diverses évolutions dans le domaine de l’économie économique, les restructurations et l’insolvabilité et la propriété intellectuelle. La plupart de ces travaux se font en étroite collaboration avec la CNUDCI qui </w:t>
            </w:r>
            <w:r w:rsidR="00F04326">
              <w:rPr>
                <w:i/>
                <w:iCs/>
              </w:rPr>
              <w:t>se profilera en définitive comme la tête de pont, politique et juridique. Une nouvelle proposition vise la création d’un groupe de travail chargé d’examiner l’élaboration éventuelle d’une convention relative à la reconnaissance et à l’exécution transfrontières des ordonnances de protection, en liaison avec les travaux du forum sur la violence domestique et la Convention d’enlèvement d’enfants de 1980.</w:t>
            </w:r>
          </w:p>
          <w:p w14:paraId="3CD97C86" w14:textId="54BE90AA" w:rsidR="002A674D" w:rsidRPr="005A645C" w:rsidRDefault="002A674D" w:rsidP="005A645C"/>
        </w:tc>
      </w:tr>
    </w:tbl>
    <w:p w14:paraId="33A87E46" w14:textId="77777777" w:rsidR="00B01373" w:rsidRDefault="00B01373"/>
    <w:p w14:paraId="620124C3" w14:textId="77777777" w:rsidR="00B01373" w:rsidRDefault="00B01373"/>
    <w:tbl>
      <w:tblPr>
        <w:tblStyle w:val="Grilledutableau"/>
        <w:tblW w:w="10031" w:type="dxa"/>
        <w:tblLook w:val="04A0" w:firstRow="1" w:lastRow="0" w:firstColumn="1" w:lastColumn="0" w:noHBand="0" w:noVBand="1"/>
      </w:tblPr>
      <w:tblGrid>
        <w:gridCol w:w="10031"/>
      </w:tblGrid>
      <w:tr w:rsidR="00B01373" w14:paraId="6FF817ED" w14:textId="77777777" w:rsidTr="00B01373">
        <w:tc>
          <w:tcPr>
            <w:tcW w:w="10031" w:type="dxa"/>
          </w:tcPr>
          <w:p w14:paraId="60EC24CE" w14:textId="77777777" w:rsidR="00B01373" w:rsidRDefault="00B01373"/>
          <w:p w14:paraId="5E4CD61D" w14:textId="77777777" w:rsidR="00B01373" w:rsidRPr="002247F1" w:rsidRDefault="00B01373" w:rsidP="00B01373">
            <w:pPr>
              <w:jc w:val="center"/>
            </w:pPr>
            <w:r>
              <w:rPr>
                <w:b/>
              </w:rPr>
              <w:t>Abréviations</w:t>
            </w:r>
          </w:p>
          <w:p w14:paraId="44BF0A39" w14:textId="77777777" w:rsidR="00B01373" w:rsidRDefault="00B01373"/>
        </w:tc>
      </w:tr>
      <w:tr w:rsidR="00B01373" w:rsidRPr="00832BCC" w14:paraId="25C001F7" w14:textId="77777777" w:rsidTr="00B01373">
        <w:tc>
          <w:tcPr>
            <w:tcW w:w="10031" w:type="dxa"/>
          </w:tcPr>
          <w:p w14:paraId="1BBADC88" w14:textId="77777777" w:rsidR="00B01373" w:rsidRPr="003A007E" w:rsidRDefault="00B01373" w:rsidP="00B01373">
            <w:pPr>
              <w:ind w:left="1134" w:hanging="1134"/>
              <w:rPr>
                <w:lang w:val="es-AR"/>
              </w:rPr>
            </w:pPr>
          </w:p>
          <w:p w14:paraId="6AAF8B35" w14:textId="37C448D4" w:rsidR="00C8138E" w:rsidRDefault="00C8138E" w:rsidP="00C8138E">
            <w:pPr>
              <w:ind w:left="1134" w:hanging="1134"/>
              <w:jc w:val="both"/>
            </w:pPr>
            <w:r>
              <w:t xml:space="preserve">ALPC   </w:t>
            </w:r>
            <w:r>
              <w:tab/>
              <w:t xml:space="preserve">Accord </w:t>
            </w:r>
            <w:r w:rsidRPr="00513BB9">
              <w:t>du 21 juin 1999 entre la Confédération suisse, d’une part, et la Communauté européenne et ses États membres, d’autre part, sur la libre circulation des personnes (RS 0.142.112.681)</w:t>
            </w:r>
          </w:p>
          <w:p w14:paraId="6B7C667D" w14:textId="349421CF" w:rsidR="00C8138E" w:rsidRDefault="00C8138E" w:rsidP="00C8138E">
            <w:pPr>
              <w:ind w:left="1134" w:hanging="1134"/>
              <w:jc w:val="both"/>
            </w:pPr>
            <w:r>
              <w:t>AA             Accord entre la Confédération suisse et la Communauté européenne relatif aux échanges de produits agricoles du 21 juin 1999 (RS 0.916.026.81)</w:t>
            </w:r>
          </w:p>
          <w:p w14:paraId="1E74BB61" w14:textId="77777777" w:rsidR="00C8138E" w:rsidRDefault="00C8138E" w:rsidP="00C8138E">
            <w:pPr>
              <w:ind w:left="1134" w:hanging="1134"/>
              <w:jc w:val="both"/>
            </w:pPr>
            <w:r>
              <w:t>ApTA           Appendice relatif au Tribunal arbitral (PI-ALPC)</w:t>
            </w:r>
          </w:p>
          <w:p w14:paraId="7F45365A" w14:textId="31E1C09E" w:rsidR="00C8138E" w:rsidRDefault="00C8138E" w:rsidP="00C8138E">
            <w:pPr>
              <w:ind w:left="1134" w:hanging="1134"/>
              <w:jc w:val="both"/>
            </w:pPr>
            <w:r>
              <w:t>ATA           Accord entre la Confédération suisse et la Communauté européenne sur le transport aérien du 21 juin 1999 (RS 0.748.127.192.68)</w:t>
            </w:r>
          </w:p>
          <w:p w14:paraId="13592F4B" w14:textId="2F7009A2" w:rsidR="001B0A9C" w:rsidRDefault="001B0A9C" w:rsidP="00C8138E">
            <w:pPr>
              <w:ind w:left="1134" w:hanging="1134"/>
              <w:jc w:val="both"/>
            </w:pPr>
            <w:r>
              <w:t>LTPM          Loi fédérale sur la transparence des personnes morales et l’identification des ayants droits économiques du 26.9.2025</w:t>
            </w:r>
          </w:p>
          <w:p w14:paraId="1D430ACA" w14:textId="77777777" w:rsidR="00C8138E" w:rsidRDefault="00C8138E" w:rsidP="00C8138E">
            <w:pPr>
              <w:ind w:left="1134" w:hanging="1134"/>
              <w:jc w:val="both"/>
            </w:pPr>
            <w:r>
              <w:t>PA-ALPC   Protocole d’amendement relatif à l’Accord entre la Confédération suisse, d’une part, et la Communauté européenne et ses Etats membres, d’autre part, sur la libre circulation de personnes</w:t>
            </w:r>
          </w:p>
          <w:p w14:paraId="3001B708" w14:textId="77777777" w:rsidR="00C8138E" w:rsidRDefault="00C8138E" w:rsidP="00C8138E">
            <w:pPr>
              <w:ind w:left="1134" w:hanging="1134"/>
              <w:jc w:val="both"/>
            </w:pPr>
            <w:r>
              <w:t>PI-ALPC    Protocole institutionnel relatif à l’Accord entre la Confédération suisse, d’une part, et la Communauté européenne et ses Etats membres, d’autre part, sur la libre circulation de personnes</w:t>
            </w:r>
          </w:p>
          <w:p w14:paraId="1C09243D" w14:textId="77777777" w:rsidR="00C8138E" w:rsidRPr="00C65AF6" w:rsidRDefault="00C8138E" w:rsidP="00741738"/>
        </w:tc>
      </w:tr>
    </w:tbl>
    <w:p w14:paraId="52183759" w14:textId="77777777" w:rsidR="00B01373" w:rsidRDefault="00B01373"/>
    <w:tbl>
      <w:tblPr>
        <w:tblStyle w:val="Grilledutableau"/>
        <w:tblW w:w="9993" w:type="dxa"/>
        <w:tblInd w:w="38" w:type="dxa"/>
        <w:tblLayout w:type="fixed"/>
        <w:tblLook w:val="04A0" w:firstRow="1" w:lastRow="0" w:firstColumn="1" w:lastColumn="0" w:noHBand="0" w:noVBand="1"/>
      </w:tblPr>
      <w:tblGrid>
        <w:gridCol w:w="2622"/>
        <w:gridCol w:w="7087"/>
        <w:gridCol w:w="284"/>
      </w:tblGrid>
      <w:tr w:rsidR="002C53FC" w14:paraId="0351B414" w14:textId="77777777" w:rsidTr="007945F9">
        <w:tc>
          <w:tcPr>
            <w:tcW w:w="9709" w:type="dxa"/>
            <w:gridSpan w:val="2"/>
          </w:tcPr>
          <w:p w14:paraId="7523E069" w14:textId="77777777" w:rsidR="002C53FC" w:rsidRDefault="002C53FC"/>
          <w:p w14:paraId="4EBB0B8B" w14:textId="2958C169" w:rsidR="007945F9" w:rsidRPr="007945F9" w:rsidRDefault="007945F9" w:rsidP="007945F9">
            <w:pPr>
              <w:jc w:val="center"/>
              <w:rPr>
                <w:b/>
                <w:bCs/>
              </w:rPr>
            </w:pPr>
            <w:r>
              <w:rPr>
                <w:b/>
                <w:bCs/>
              </w:rPr>
              <w:t>Index</w:t>
            </w:r>
          </w:p>
          <w:p w14:paraId="3822E837" w14:textId="77777777" w:rsidR="007945F9" w:rsidRDefault="007945F9"/>
        </w:tc>
        <w:tc>
          <w:tcPr>
            <w:tcW w:w="284" w:type="dxa"/>
          </w:tcPr>
          <w:p w14:paraId="2E335BB3" w14:textId="1DA834C4" w:rsidR="002C53FC" w:rsidRDefault="002C53FC"/>
        </w:tc>
      </w:tr>
      <w:tr w:rsidR="002C53FC" w14:paraId="1006BAD3" w14:textId="77777777" w:rsidTr="007945F9">
        <w:tc>
          <w:tcPr>
            <w:tcW w:w="2622" w:type="dxa"/>
          </w:tcPr>
          <w:p w14:paraId="771052DC" w14:textId="77777777" w:rsidR="002C53FC" w:rsidRDefault="002C53FC"/>
          <w:p w14:paraId="02F5028D" w14:textId="707A60EE" w:rsidR="007945F9" w:rsidRPr="007945F9" w:rsidRDefault="007945F9">
            <w:pPr>
              <w:rPr>
                <w:i/>
                <w:iCs/>
              </w:rPr>
            </w:pPr>
            <w:r>
              <w:rPr>
                <w:i/>
                <w:iCs/>
              </w:rPr>
              <w:t>Sanctions économiques</w:t>
            </w:r>
          </w:p>
          <w:p w14:paraId="30ADC497" w14:textId="77777777" w:rsidR="007945F9" w:rsidRDefault="007945F9"/>
          <w:p w14:paraId="56A67D43" w14:textId="77777777" w:rsidR="007945F9" w:rsidRDefault="007945F9"/>
        </w:tc>
        <w:tc>
          <w:tcPr>
            <w:tcW w:w="7371" w:type="dxa"/>
            <w:gridSpan w:val="2"/>
          </w:tcPr>
          <w:p w14:paraId="7AEEF0FE" w14:textId="77777777" w:rsidR="002C53FC" w:rsidRDefault="002C53FC"/>
          <w:p w14:paraId="2737E458" w14:textId="77777777" w:rsidR="007945F9" w:rsidRDefault="007945F9">
            <w:r>
              <w:t>art. 187 n° 18a</w:t>
            </w:r>
          </w:p>
          <w:p w14:paraId="77CEC6AA" w14:textId="77777777" w:rsidR="007945F9" w:rsidRDefault="007945F9"/>
          <w:p w14:paraId="22E54BE4" w14:textId="77777777" w:rsidR="007945F9" w:rsidRDefault="007945F9"/>
          <w:p w14:paraId="4C205918" w14:textId="35F765E6" w:rsidR="007945F9" w:rsidRPr="007945F9" w:rsidRDefault="007945F9">
            <w:pPr>
              <w:rPr>
                <w:sz w:val="18"/>
                <w:szCs w:val="18"/>
              </w:rPr>
            </w:pPr>
            <w:r>
              <w:rPr>
                <w:sz w:val="18"/>
                <w:szCs w:val="18"/>
              </w:rPr>
              <w:t>(à compléter)</w:t>
            </w:r>
          </w:p>
        </w:tc>
      </w:tr>
    </w:tbl>
    <w:p w14:paraId="64A1C1EA" w14:textId="77777777" w:rsidR="002C53FC" w:rsidRPr="00C65AF6" w:rsidRDefault="002C53FC"/>
    <w:sectPr w:rsidR="002C53FC" w:rsidRPr="00C65AF6" w:rsidSect="008C5853">
      <w:footerReference w:type="default" r:id="rId7"/>
      <w:type w:val="continuous"/>
      <w:pgSz w:w="11907" w:h="16839" w:code="9"/>
      <w:pgMar w:top="1418" w:right="1701" w:bottom="1134" w:left="1134"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89A8B" w14:textId="77777777" w:rsidR="003A45CC" w:rsidRDefault="003A45CC" w:rsidP="00B01373">
      <w:r>
        <w:separator/>
      </w:r>
    </w:p>
  </w:endnote>
  <w:endnote w:type="continuationSeparator" w:id="0">
    <w:p w14:paraId="1E9108D1" w14:textId="77777777" w:rsidR="003A45CC" w:rsidRDefault="003A45CC" w:rsidP="00B01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sans">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3404"/>
      <w:docPartObj>
        <w:docPartGallery w:val="Page Numbers (Bottom of Page)"/>
        <w:docPartUnique/>
      </w:docPartObj>
    </w:sdtPr>
    <w:sdtContent>
      <w:p w14:paraId="14972565" w14:textId="77777777" w:rsidR="006E5072" w:rsidRDefault="006E5072">
        <w:pPr>
          <w:pStyle w:val="Pieddepage"/>
          <w:jc w:val="right"/>
        </w:pPr>
      </w:p>
      <w:p w14:paraId="05825D5A" w14:textId="77777777" w:rsidR="006E5072" w:rsidRDefault="003833EE">
        <w:pPr>
          <w:pStyle w:val="Pieddepage"/>
          <w:jc w:val="right"/>
        </w:pPr>
        <w:r>
          <w:fldChar w:fldCharType="begin"/>
        </w:r>
        <w:r>
          <w:instrText xml:space="preserve"> PAGE   \* MERGEFORMAT </w:instrText>
        </w:r>
        <w:r>
          <w:fldChar w:fldCharType="separate"/>
        </w:r>
        <w:r w:rsidR="0023325B">
          <w:rPr>
            <w:noProof/>
          </w:rPr>
          <w:t>3</w:t>
        </w:r>
        <w:r>
          <w:rPr>
            <w:noProof/>
          </w:rPr>
          <w:fldChar w:fldCharType="end"/>
        </w:r>
      </w:p>
    </w:sdtContent>
  </w:sdt>
  <w:p w14:paraId="7543E802" w14:textId="77777777" w:rsidR="006E5072" w:rsidRDefault="006E507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A53D1" w14:textId="77777777" w:rsidR="003A45CC" w:rsidRDefault="003A45CC" w:rsidP="00B01373">
      <w:r>
        <w:separator/>
      </w:r>
    </w:p>
  </w:footnote>
  <w:footnote w:type="continuationSeparator" w:id="0">
    <w:p w14:paraId="24942EE9" w14:textId="77777777" w:rsidR="003A45CC" w:rsidRDefault="003A45CC" w:rsidP="00B013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drawingGridHorizontalSpacing w:val="11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1D24"/>
    <w:rsid w:val="000062EB"/>
    <w:rsid w:val="00023B14"/>
    <w:rsid w:val="00030722"/>
    <w:rsid w:val="00030F56"/>
    <w:rsid w:val="00031AA5"/>
    <w:rsid w:val="00035160"/>
    <w:rsid w:val="00045310"/>
    <w:rsid w:val="00072ECB"/>
    <w:rsid w:val="00085FED"/>
    <w:rsid w:val="000A33EB"/>
    <w:rsid w:val="000A6EAA"/>
    <w:rsid w:val="000B5CFB"/>
    <w:rsid w:val="000B6B94"/>
    <w:rsid w:val="000C5261"/>
    <w:rsid w:val="000D03AF"/>
    <w:rsid w:val="000D0EE6"/>
    <w:rsid w:val="000D1AD9"/>
    <w:rsid w:val="000E4CEF"/>
    <w:rsid w:val="000F5030"/>
    <w:rsid w:val="000F71C6"/>
    <w:rsid w:val="000F736E"/>
    <w:rsid w:val="0010147A"/>
    <w:rsid w:val="00103C03"/>
    <w:rsid w:val="00104558"/>
    <w:rsid w:val="00104F7C"/>
    <w:rsid w:val="00111CD1"/>
    <w:rsid w:val="00117C1F"/>
    <w:rsid w:val="0012132A"/>
    <w:rsid w:val="00122244"/>
    <w:rsid w:val="00130E35"/>
    <w:rsid w:val="00141795"/>
    <w:rsid w:val="00142FF7"/>
    <w:rsid w:val="00144E7D"/>
    <w:rsid w:val="00162478"/>
    <w:rsid w:val="0016528F"/>
    <w:rsid w:val="0016772B"/>
    <w:rsid w:val="00167925"/>
    <w:rsid w:val="00170EC1"/>
    <w:rsid w:val="001720BC"/>
    <w:rsid w:val="0017574E"/>
    <w:rsid w:val="00177368"/>
    <w:rsid w:val="001A3DB8"/>
    <w:rsid w:val="001A5EEE"/>
    <w:rsid w:val="001B0A9C"/>
    <w:rsid w:val="001C2C28"/>
    <w:rsid w:val="001C4939"/>
    <w:rsid w:val="001C5FEC"/>
    <w:rsid w:val="001C7BA2"/>
    <w:rsid w:val="001D175F"/>
    <w:rsid w:val="001D1A1F"/>
    <w:rsid w:val="001D2EF5"/>
    <w:rsid w:val="001E3535"/>
    <w:rsid w:val="001E66F4"/>
    <w:rsid w:val="001F75C0"/>
    <w:rsid w:val="002011C4"/>
    <w:rsid w:val="00205653"/>
    <w:rsid w:val="0022073D"/>
    <w:rsid w:val="00220DB9"/>
    <w:rsid w:val="00221003"/>
    <w:rsid w:val="002247F1"/>
    <w:rsid w:val="00227851"/>
    <w:rsid w:val="0023081A"/>
    <w:rsid w:val="00232E0B"/>
    <w:rsid w:val="0023325B"/>
    <w:rsid w:val="0023489B"/>
    <w:rsid w:val="002362FC"/>
    <w:rsid w:val="00242097"/>
    <w:rsid w:val="00245738"/>
    <w:rsid w:val="0025252E"/>
    <w:rsid w:val="0026106C"/>
    <w:rsid w:val="00266DA9"/>
    <w:rsid w:val="002706D9"/>
    <w:rsid w:val="00284657"/>
    <w:rsid w:val="00287B5A"/>
    <w:rsid w:val="002924DB"/>
    <w:rsid w:val="00293E8A"/>
    <w:rsid w:val="002A2763"/>
    <w:rsid w:val="002A674D"/>
    <w:rsid w:val="002B02D5"/>
    <w:rsid w:val="002B0750"/>
    <w:rsid w:val="002C451A"/>
    <w:rsid w:val="002C4985"/>
    <w:rsid w:val="002C53FC"/>
    <w:rsid w:val="002C57A6"/>
    <w:rsid w:val="002C6ED3"/>
    <w:rsid w:val="002E3633"/>
    <w:rsid w:val="002E6697"/>
    <w:rsid w:val="002F0FAD"/>
    <w:rsid w:val="002F2587"/>
    <w:rsid w:val="002F29A0"/>
    <w:rsid w:val="002F76A1"/>
    <w:rsid w:val="0030741D"/>
    <w:rsid w:val="003276A5"/>
    <w:rsid w:val="00330721"/>
    <w:rsid w:val="003330F7"/>
    <w:rsid w:val="0033487A"/>
    <w:rsid w:val="00335F64"/>
    <w:rsid w:val="0034383C"/>
    <w:rsid w:val="003534CE"/>
    <w:rsid w:val="00366669"/>
    <w:rsid w:val="003712E4"/>
    <w:rsid w:val="00376119"/>
    <w:rsid w:val="003833EE"/>
    <w:rsid w:val="00385CB7"/>
    <w:rsid w:val="00387EAE"/>
    <w:rsid w:val="0039790A"/>
    <w:rsid w:val="003A007E"/>
    <w:rsid w:val="003A45CC"/>
    <w:rsid w:val="003B5F43"/>
    <w:rsid w:val="003C1019"/>
    <w:rsid w:val="003C19D1"/>
    <w:rsid w:val="003C4A12"/>
    <w:rsid w:val="003C5527"/>
    <w:rsid w:val="003E278E"/>
    <w:rsid w:val="003E289C"/>
    <w:rsid w:val="003F0F1E"/>
    <w:rsid w:val="003F6843"/>
    <w:rsid w:val="003F75C4"/>
    <w:rsid w:val="0040232B"/>
    <w:rsid w:val="004050D3"/>
    <w:rsid w:val="00413EBF"/>
    <w:rsid w:val="004140C1"/>
    <w:rsid w:val="00423EDD"/>
    <w:rsid w:val="00424375"/>
    <w:rsid w:val="00427256"/>
    <w:rsid w:val="004369B0"/>
    <w:rsid w:val="004420C8"/>
    <w:rsid w:val="0045077A"/>
    <w:rsid w:val="00453318"/>
    <w:rsid w:val="0045354F"/>
    <w:rsid w:val="00467000"/>
    <w:rsid w:val="00473DB5"/>
    <w:rsid w:val="00476E2D"/>
    <w:rsid w:val="004834DC"/>
    <w:rsid w:val="00485D37"/>
    <w:rsid w:val="00496DDF"/>
    <w:rsid w:val="004A437A"/>
    <w:rsid w:val="004A54C2"/>
    <w:rsid w:val="004A6464"/>
    <w:rsid w:val="004B0910"/>
    <w:rsid w:val="004B117F"/>
    <w:rsid w:val="004B2B81"/>
    <w:rsid w:val="004C599C"/>
    <w:rsid w:val="004D6EB2"/>
    <w:rsid w:val="004E1ED3"/>
    <w:rsid w:val="004F39EF"/>
    <w:rsid w:val="0050264F"/>
    <w:rsid w:val="0050741D"/>
    <w:rsid w:val="00513BB9"/>
    <w:rsid w:val="00516856"/>
    <w:rsid w:val="00521BF8"/>
    <w:rsid w:val="005338B6"/>
    <w:rsid w:val="00534CF2"/>
    <w:rsid w:val="00534D69"/>
    <w:rsid w:val="00553BD5"/>
    <w:rsid w:val="00553D28"/>
    <w:rsid w:val="00566251"/>
    <w:rsid w:val="0057243B"/>
    <w:rsid w:val="0058787E"/>
    <w:rsid w:val="005A0F33"/>
    <w:rsid w:val="005A13D4"/>
    <w:rsid w:val="005A2990"/>
    <w:rsid w:val="005A529D"/>
    <w:rsid w:val="005A645C"/>
    <w:rsid w:val="005B68DD"/>
    <w:rsid w:val="005C3760"/>
    <w:rsid w:val="005C3F26"/>
    <w:rsid w:val="005D15F4"/>
    <w:rsid w:val="005D16C6"/>
    <w:rsid w:val="005F29DE"/>
    <w:rsid w:val="0060782B"/>
    <w:rsid w:val="00610D99"/>
    <w:rsid w:val="006202E0"/>
    <w:rsid w:val="00644F93"/>
    <w:rsid w:val="00645D35"/>
    <w:rsid w:val="00647796"/>
    <w:rsid w:val="0065290B"/>
    <w:rsid w:val="00653EFF"/>
    <w:rsid w:val="006614C2"/>
    <w:rsid w:val="00663989"/>
    <w:rsid w:val="00685AC4"/>
    <w:rsid w:val="00695DA0"/>
    <w:rsid w:val="006A57A6"/>
    <w:rsid w:val="006B3035"/>
    <w:rsid w:val="006B6AC3"/>
    <w:rsid w:val="006B6FC1"/>
    <w:rsid w:val="006C7537"/>
    <w:rsid w:val="006D091D"/>
    <w:rsid w:val="006D37D6"/>
    <w:rsid w:val="006E1DA0"/>
    <w:rsid w:val="006E37E4"/>
    <w:rsid w:val="006E39B7"/>
    <w:rsid w:val="006E5072"/>
    <w:rsid w:val="006F1FD9"/>
    <w:rsid w:val="006F3E09"/>
    <w:rsid w:val="006F7726"/>
    <w:rsid w:val="006F7ED9"/>
    <w:rsid w:val="00704F7E"/>
    <w:rsid w:val="0071658C"/>
    <w:rsid w:val="007310D2"/>
    <w:rsid w:val="00732D5F"/>
    <w:rsid w:val="007363F3"/>
    <w:rsid w:val="00737D92"/>
    <w:rsid w:val="00741738"/>
    <w:rsid w:val="0074188E"/>
    <w:rsid w:val="007451B9"/>
    <w:rsid w:val="00751DEC"/>
    <w:rsid w:val="00753C1E"/>
    <w:rsid w:val="00760086"/>
    <w:rsid w:val="007703CD"/>
    <w:rsid w:val="007759F1"/>
    <w:rsid w:val="00776DB7"/>
    <w:rsid w:val="007810C4"/>
    <w:rsid w:val="007833A9"/>
    <w:rsid w:val="007853FE"/>
    <w:rsid w:val="00786BCB"/>
    <w:rsid w:val="007872D9"/>
    <w:rsid w:val="00794464"/>
    <w:rsid w:val="007945F9"/>
    <w:rsid w:val="00796F36"/>
    <w:rsid w:val="007A2995"/>
    <w:rsid w:val="007A36FE"/>
    <w:rsid w:val="007A41E9"/>
    <w:rsid w:val="007B188D"/>
    <w:rsid w:val="007C099F"/>
    <w:rsid w:val="007C4F63"/>
    <w:rsid w:val="007C524E"/>
    <w:rsid w:val="007D07E5"/>
    <w:rsid w:val="007D5BC8"/>
    <w:rsid w:val="007D6038"/>
    <w:rsid w:val="007E0362"/>
    <w:rsid w:val="007E39F6"/>
    <w:rsid w:val="007F0683"/>
    <w:rsid w:val="008005A4"/>
    <w:rsid w:val="00800928"/>
    <w:rsid w:val="00802EA6"/>
    <w:rsid w:val="00804BEF"/>
    <w:rsid w:val="00806B06"/>
    <w:rsid w:val="0080744D"/>
    <w:rsid w:val="00814E04"/>
    <w:rsid w:val="00815A92"/>
    <w:rsid w:val="00821D24"/>
    <w:rsid w:val="00831004"/>
    <w:rsid w:val="0083258E"/>
    <w:rsid w:val="00832BCC"/>
    <w:rsid w:val="00836552"/>
    <w:rsid w:val="0083741D"/>
    <w:rsid w:val="00841BF2"/>
    <w:rsid w:val="00857F98"/>
    <w:rsid w:val="00860289"/>
    <w:rsid w:val="00870D2F"/>
    <w:rsid w:val="0087483F"/>
    <w:rsid w:val="0087643F"/>
    <w:rsid w:val="00876CB0"/>
    <w:rsid w:val="00881462"/>
    <w:rsid w:val="00894F0F"/>
    <w:rsid w:val="008A2AD6"/>
    <w:rsid w:val="008A43E8"/>
    <w:rsid w:val="008B62CB"/>
    <w:rsid w:val="008C3022"/>
    <w:rsid w:val="008C42E8"/>
    <w:rsid w:val="008C5853"/>
    <w:rsid w:val="008C6A7F"/>
    <w:rsid w:val="008C6DB5"/>
    <w:rsid w:val="008D0160"/>
    <w:rsid w:val="008D12F0"/>
    <w:rsid w:val="008D2498"/>
    <w:rsid w:val="008D44C4"/>
    <w:rsid w:val="008D4883"/>
    <w:rsid w:val="008E1EB6"/>
    <w:rsid w:val="008E3095"/>
    <w:rsid w:val="008E32AB"/>
    <w:rsid w:val="008E598E"/>
    <w:rsid w:val="008F0DBD"/>
    <w:rsid w:val="008F7042"/>
    <w:rsid w:val="00903C8C"/>
    <w:rsid w:val="00907528"/>
    <w:rsid w:val="009178E5"/>
    <w:rsid w:val="00921B72"/>
    <w:rsid w:val="00922DB8"/>
    <w:rsid w:val="00923EF3"/>
    <w:rsid w:val="00927847"/>
    <w:rsid w:val="009308D5"/>
    <w:rsid w:val="009354EF"/>
    <w:rsid w:val="009510E9"/>
    <w:rsid w:val="009543BA"/>
    <w:rsid w:val="00955654"/>
    <w:rsid w:val="00961010"/>
    <w:rsid w:val="00965347"/>
    <w:rsid w:val="00966E6E"/>
    <w:rsid w:val="00970BCD"/>
    <w:rsid w:val="009717C1"/>
    <w:rsid w:val="00986655"/>
    <w:rsid w:val="00991F8A"/>
    <w:rsid w:val="00991FE5"/>
    <w:rsid w:val="009A215B"/>
    <w:rsid w:val="009B3B73"/>
    <w:rsid w:val="009C7D4B"/>
    <w:rsid w:val="009D1E28"/>
    <w:rsid w:val="009D20B0"/>
    <w:rsid w:val="009D39A1"/>
    <w:rsid w:val="009E4413"/>
    <w:rsid w:val="00A035B4"/>
    <w:rsid w:val="00A03A02"/>
    <w:rsid w:val="00A130EB"/>
    <w:rsid w:val="00A1313E"/>
    <w:rsid w:val="00A20686"/>
    <w:rsid w:val="00A236DC"/>
    <w:rsid w:val="00A43E6C"/>
    <w:rsid w:val="00A44AC6"/>
    <w:rsid w:val="00A6069F"/>
    <w:rsid w:val="00A64193"/>
    <w:rsid w:val="00A66F3C"/>
    <w:rsid w:val="00A70C40"/>
    <w:rsid w:val="00A70D12"/>
    <w:rsid w:val="00A71489"/>
    <w:rsid w:val="00A71511"/>
    <w:rsid w:val="00A74E1C"/>
    <w:rsid w:val="00A76CCA"/>
    <w:rsid w:val="00A80F69"/>
    <w:rsid w:val="00A91E2E"/>
    <w:rsid w:val="00A94307"/>
    <w:rsid w:val="00A97447"/>
    <w:rsid w:val="00AA7902"/>
    <w:rsid w:val="00AC4756"/>
    <w:rsid w:val="00AD34F0"/>
    <w:rsid w:val="00AE20B0"/>
    <w:rsid w:val="00AE3C8A"/>
    <w:rsid w:val="00AF22DC"/>
    <w:rsid w:val="00B01373"/>
    <w:rsid w:val="00B23EFC"/>
    <w:rsid w:val="00B31E97"/>
    <w:rsid w:val="00B3351F"/>
    <w:rsid w:val="00B35EFF"/>
    <w:rsid w:val="00B36D85"/>
    <w:rsid w:val="00B41415"/>
    <w:rsid w:val="00B61C6C"/>
    <w:rsid w:val="00B63A08"/>
    <w:rsid w:val="00B765BB"/>
    <w:rsid w:val="00B77483"/>
    <w:rsid w:val="00B804D0"/>
    <w:rsid w:val="00B83837"/>
    <w:rsid w:val="00B858A3"/>
    <w:rsid w:val="00B920C5"/>
    <w:rsid w:val="00B96930"/>
    <w:rsid w:val="00BA03E1"/>
    <w:rsid w:val="00BA6619"/>
    <w:rsid w:val="00BA7380"/>
    <w:rsid w:val="00BB3710"/>
    <w:rsid w:val="00BC1092"/>
    <w:rsid w:val="00BC39CD"/>
    <w:rsid w:val="00BC78D2"/>
    <w:rsid w:val="00BD4BF4"/>
    <w:rsid w:val="00BD65C8"/>
    <w:rsid w:val="00BD6F15"/>
    <w:rsid w:val="00BE173D"/>
    <w:rsid w:val="00BF03DE"/>
    <w:rsid w:val="00BF0EFB"/>
    <w:rsid w:val="00BF54C1"/>
    <w:rsid w:val="00BF60C3"/>
    <w:rsid w:val="00C057CE"/>
    <w:rsid w:val="00C07403"/>
    <w:rsid w:val="00C103C4"/>
    <w:rsid w:val="00C10454"/>
    <w:rsid w:val="00C15489"/>
    <w:rsid w:val="00C214BD"/>
    <w:rsid w:val="00C35DB0"/>
    <w:rsid w:val="00C54E22"/>
    <w:rsid w:val="00C65AF6"/>
    <w:rsid w:val="00C66EF8"/>
    <w:rsid w:val="00C70EF2"/>
    <w:rsid w:val="00C73224"/>
    <w:rsid w:val="00C8138E"/>
    <w:rsid w:val="00C912A3"/>
    <w:rsid w:val="00C9459A"/>
    <w:rsid w:val="00C96036"/>
    <w:rsid w:val="00CA30D7"/>
    <w:rsid w:val="00CA680D"/>
    <w:rsid w:val="00CB3832"/>
    <w:rsid w:val="00CB6D51"/>
    <w:rsid w:val="00CC1457"/>
    <w:rsid w:val="00CC469E"/>
    <w:rsid w:val="00CD4CB5"/>
    <w:rsid w:val="00CE7424"/>
    <w:rsid w:val="00CF5182"/>
    <w:rsid w:val="00CF5DBF"/>
    <w:rsid w:val="00CF6129"/>
    <w:rsid w:val="00CF7070"/>
    <w:rsid w:val="00D028D8"/>
    <w:rsid w:val="00D060D8"/>
    <w:rsid w:val="00D118C1"/>
    <w:rsid w:val="00D15088"/>
    <w:rsid w:val="00D15A79"/>
    <w:rsid w:val="00D26BD2"/>
    <w:rsid w:val="00D27937"/>
    <w:rsid w:val="00D33168"/>
    <w:rsid w:val="00D3565E"/>
    <w:rsid w:val="00D36DCA"/>
    <w:rsid w:val="00D37F1A"/>
    <w:rsid w:val="00D40D43"/>
    <w:rsid w:val="00D51312"/>
    <w:rsid w:val="00D515CA"/>
    <w:rsid w:val="00D5270C"/>
    <w:rsid w:val="00D611B1"/>
    <w:rsid w:val="00D63360"/>
    <w:rsid w:val="00D66241"/>
    <w:rsid w:val="00D75B3E"/>
    <w:rsid w:val="00D764DF"/>
    <w:rsid w:val="00D77CF3"/>
    <w:rsid w:val="00D8157D"/>
    <w:rsid w:val="00D8251B"/>
    <w:rsid w:val="00D93002"/>
    <w:rsid w:val="00DA3213"/>
    <w:rsid w:val="00DB3A40"/>
    <w:rsid w:val="00DB54B2"/>
    <w:rsid w:val="00DB67DC"/>
    <w:rsid w:val="00DC6731"/>
    <w:rsid w:val="00DF0C41"/>
    <w:rsid w:val="00DF4B5D"/>
    <w:rsid w:val="00E00C2F"/>
    <w:rsid w:val="00E04B86"/>
    <w:rsid w:val="00E16420"/>
    <w:rsid w:val="00E1673A"/>
    <w:rsid w:val="00E17FAA"/>
    <w:rsid w:val="00E2054B"/>
    <w:rsid w:val="00E22139"/>
    <w:rsid w:val="00E221E9"/>
    <w:rsid w:val="00E244AD"/>
    <w:rsid w:val="00E254A4"/>
    <w:rsid w:val="00E33395"/>
    <w:rsid w:val="00E443D5"/>
    <w:rsid w:val="00E46E9B"/>
    <w:rsid w:val="00E62146"/>
    <w:rsid w:val="00E66A7C"/>
    <w:rsid w:val="00E70178"/>
    <w:rsid w:val="00E8626A"/>
    <w:rsid w:val="00E903A4"/>
    <w:rsid w:val="00E91A90"/>
    <w:rsid w:val="00E93973"/>
    <w:rsid w:val="00E948BB"/>
    <w:rsid w:val="00EA14C7"/>
    <w:rsid w:val="00EB750E"/>
    <w:rsid w:val="00EB7EF6"/>
    <w:rsid w:val="00EC6DFA"/>
    <w:rsid w:val="00ED3350"/>
    <w:rsid w:val="00ED6FAD"/>
    <w:rsid w:val="00EE13CA"/>
    <w:rsid w:val="00EE37F5"/>
    <w:rsid w:val="00EE538E"/>
    <w:rsid w:val="00EE6CDD"/>
    <w:rsid w:val="00EF47DB"/>
    <w:rsid w:val="00F00DF5"/>
    <w:rsid w:val="00F01CCE"/>
    <w:rsid w:val="00F04326"/>
    <w:rsid w:val="00F04A28"/>
    <w:rsid w:val="00F145AB"/>
    <w:rsid w:val="00F20AF5"/>
    <w:rsid w:val="00F2674E"/>
    <w:rsid w:val="00F340A1"/>
    <w:rsid w:val="00F37B08"/>
    <w:rsid w:val="00F404DF"/>
    <w:rsid w:val="00F4565D"/>
    <w:rsid w:val="00F509E8"/>
    <w:rsid w:val="00F723A2"/>
    <w:rsid w:val="00F774F1"/>
    <w:rsid w:val="00F81098"/>
    <w:rsid w:val="00F90AD9"/>
    <w:rsid w:val="00FA28AB"/>
    <w:rsid w:val="00FA4275"/>
    <w:rsid w:val="00FB162B"/>
    <w:rsid w:val="00FB1EF4"/>
    <w:rsid w:val="00FB4CDF"/>
    <w:rsid w:val="00FB70DF"/>
    <w:rsid w:val="00FB7CAF"/>
    <w:rsid w:val="00FB7D34"/>
    <w:rsid w:val="00FE3ECA"/>
    <w:rsid w:val="00FF3860"/>
    <w:rsid w:val="00FF3FEF"/>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93203"/>
  <w15:docId w15:val="{9C90D057-F64C-4BF8-9E26-A52D0A994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D24"/>
    <w:rPr>
      <w:rFonts w:cs="Lucidasans"/>
      <w:sz w:val="22"/>
      <w:szCs w:val="24"/>
      <w:lang w:eastAsia="de-DE"/>
    </w:rPr>
  </w:style>
  <w:style w:type="paragraph" w:styleId="Titre1">
    <w:name w:val="heading 1"/>
    <w:basedOn w:val="Normal"/>
    <w:next w:val="Normal"/>
    <w:link w:val="Titre1Car"/>
    <w:qFormat/>
    <w:rsid w:val="001C4939"/>
    <w:pPr>
      <w:keepNext/>
      <w:tabs>
        <w:tab w:val="left" w:pos="567"/>
      </w:tabs>
      <w:autoSpaceDE w:val="0"/>
      <w:autoSpaceDN w:val="0"/>
      <w:adjustRightInd w:val="0"/>
      <w:spacing w:line="216" w:lineRule="auto"/>
      <w:ind w:left="567" w:hanging="567"/>
      <w:jc w:val="both"/>
      <w:outlineLvl w:val="0"/>
    </w:pPr>
    <w:rPr>
      <w:rFonts w:eastAsiaTheme="majorEastAsia" w:cs="Arial"/>
      <w:b/>
      <w:bCs/>
      <w:sz w:val="24"/>
      <w:szCs w:val="19"/>
      <w:lang w:val="en-US"/>
    </w:rPr>
  </w:style>
  <w:style w:type="paragraph" w:styleId="Titre2">
    <w:name w:val="heading 2"/>
    <w:basedOn w:val="Normal"/>
    <w:next w:val="Normal"/>
    <w:link w:val="Titre2Car"/>
    <w:qFormat/>
    <w:rsid w:val="001C4939"/>
    <w:pPr>
      <w:keepNext/>
      <w:tabs>
        <w:tab w:val="left" w:pos="567"/>
      </w:tabs>
      <w:autoSpaceDE w:val="0"/>
      <w:autoSpaceDN w:val="0"/>
      <w:adjustRightInd w:val="0"/>
      <w:spacing w:line="320" w:lineRule="atLeast"/>
      <w:jc w:val="center"/>
      <w:outlineLvl w:val="1"/>
    </w:pPr>
    <w:rPr>
      <w:rFonts w:eastAsiaTheme="majorEastAsia" w:cs="Arial"/>
      <w:b/>
      <w:bCs/>
      <w:sz w:val="24"/>
      <w:szCs w:val="19"/>
      <w:lang w:val="en-US"/>
    </w:rPr>
  </w:style>
  <w:style w:type="paragraph" w:styleId="Titre3">
    <w:name w:val="heading 3"/>
    <w:basedOn w:val="Normal"/>
    <w:next w:val="Normal"/>
    <w:link w:val="Titre3Car"/>
    <w:qFormat/>
    <w:rsid w:val="001C4939"/>
    <w:pPr>
      <w:keepNext/>
      <w:tabs>
        <w:tab w:val="left" w:pos="567"/>
      </w:tabs>
      <w:autoSpaceDE w:val="0"/>
      <w:autoSpaceDN w:val="0"/>
      <w:adjustRightInd w:val="0"/>
      <w:spacing w:line="216" w:lineRule="auto"/>
      <w:ind w:left="567" w:hanging="567"/>
      <w:outlineLvl w:val="2"/>
    </w:pPr>
    <w:rPr>
      <w:rFonts w:eastAsiaTheme="majorEastAsia" w:cs="Arial"/>
      <w:b/>
      <w:bCs/>
      <w:smallCaps/>
      <w:sz w:val="24"/>
      <w:szCs w:val="17"/>
      <w:lang w:val="en-US"/>
    </w:rPr>
  </w:style>
  <w:style w:type="paragraph" w:styleId="Titre5">
    <w:name w:val="heading 5"/>
    <w:basedOn w:val="Normal"/>
    <w:next w:val="Normal"/>
    <w:link w:val="Titre5Car"/>
    <w:uiPriority w:val="9"/>
    <w:semiHidden/>
    <w:unhideWhenUsed/>
    <w:qFormat/>
    <w:rsid w:val="001C4939"/>
    <w:pPr>
      <w:keepNext/>
      <w:keepLines/>
      <w:spacing w:before="200"/>
      <w:outlineLvl w:val="4"/>
    </w:pPr>
    <w:rPr>
      <w:rFonts w:asciiTheme="majorHAnsi" w:eastAsiaTheme="majorEastAsia" w:hAnsiTheme="majorHAnsi" w:cstheme="majorBidi"/>
      <w:color w:val="243F60" w:themeColor="accent1" w:themeShade="7F"/>
      <w:sz w:val="24"/>
      <w:lang w:val="de-DE"/>
    </w:rPr>
  </w:style>
  <w:style w:type="paragraph" w:styleId="Titre6">
    <w:name w:val="heading 6"/>
    <w:basedOn w:val="Normal"/>
    <w:next w:val="Normal"/>
    <w:link w:val="Titre6Car"/>
    <w:uiPriority w:val="9"/>
    <w:semiHidden/>
    <w:unhideWhenUsed/>
    <w:qFormat/>
    <w:rsid w:val="001C4939"/>
    <w:pPr>
      <w:keepNext/>
      <w:keepLines/>
      <w:spacing w:before="200"/>
      <w:outlineLvl w:val="5"/>
    </w:pPr>
    <w:rPr>
      <w:rFonts w:asciiTheme="majorHAnsi" w:eastAsiaTheme="majorEastAsia" w:hAnsiTheme="majorHAnsi" w:cstheme="majorBidi"/>
      <w:i/>
      <w:iCs/>
      <w:color w:val="243F60" w:themeColor="accent1" w:themeShade="7F"/>
      <w:sz w:val="24"/>
      <w:lang w:val="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1C4939"/>
    <w:rPr>
      <w:rFonts w:eastAsiaTheme="majorEastAsia" w:cs="Arial"/>
      <w:b/>
      <w:bCs/>
      <w:sz w:val="24"/>
      <w:szCs w:val="19"/>
      <w:lang w:val="en-US" w:eastAsia="de-DE"/>
    </w:rPr>
  </w:style>
  <w:style w:type="character" w:customStyle="1" w:styleId="Titre2Car">
    <w:name w:val="Titre 2 Car"/>
    <w:basedOn w:val="Policepardfaut"/>
    <w:link w:val="Titre2"/>
    <w:rsid w:val="001C4939"/>
    <w:rPr>
      <w:rFonts w:eastAsiaTheme="majorEastAsia" w:cs="Arial"/>
      <w:b/>
      <w:bCs/>
      <w:sz w:val="24"/>
      <w:szCs w:val="19"/>
      <w:lang w:val="en-US" w:eastAsia="de-DE"/>
    </w:rPr>
  </w:style>
  <w:style w:type="character" w:customStyle="1" w:styleId="Titre3Car">
    <w:name w:val="Titre 3 Car"/>
    <w:basedOn w:val="Policepardfaut"/>
    <w:link w:val="Titre3"/>
    <w:rsid w:val="001C4939"/>
    <w:rPr>
      <w:rFonts w:eastAsiaTheme="majorEastAsia" w:cs="Arial"/>
      <w:b/>
      <w:bCs/>
      <w:smallCaps/>
      <w:sz w:val="24"/>
      <w:szCs w:val="17"/>
      <w:lang w:val="en-US" w:eastAsia="de-DE"/>
    </w:rPr>
  </w:style>
  <w:style w:type="paragraph" w:styleId="Titre">
    <w:name w:val="Title"/>
    <w:basedOn w:val="Normal"/>
    <w:link w:val="TitreCar"/>
    <w:qFormat/>
    <w:rsid w:val="001C4939"/>
    <w:pPr>
      <w:tabs>
        <w:tab w:val="left" w:pos="567"/>
      </w:tabs>
      <w:autoSpaceDE w:val="0"/>
      <w:autoSpaceDN w:val="0"/>
      <w:adjustRightInd w:val="0"/>
      <w:spacing w:line="216" w:lineRule="auto"/>
      <w:ind w:left="567" w:hanging="567"/>
      <w:jc w:val="center"/>
    </w:pPr>
    <w:rPr>
      <w:rFonts w:eastAsiaTheme="majorEastAsia" w:cstheme="majorBidi"/>
      <w:b/>
      <w:bCs/>
      <w:sz w:val="24"/>
      <w:szCs w:val="19"/>
      <w:lang w:val="en-US"/>
    </w:rPr>
  </w:style>
  <w:style w:type="character" w:customStyle="1" w:styleId="TitreCar">
    <w:name w:val="Titre Car"/>
    <w:basedOn w:val="Policepardfaut"/>
    <w:link w:val="Titre"/>
    <w:rsid w:val="001C4939"/>
    <w:rPr>
      <w:rFonts w:eastAsiaTheme="majorEastAsia" w:cstheme="majorBidi"/>
      <w:b/>
      <w:bCs/>
      <w:sz w:val="24"/>
      <w:szCs w:val="19"/>
      <w:lang w:val="en-US" w:eastAsia="de-DE"/>
    </w:rPr>
  </w:style>
  <w:style w:type="paragraph" w:customStyle="1" w:styleId="Paragraphedeliste1">
    <w:name w:val="Paragraphe de liste1"/>
    <w:basedOn w:val="Normal"/>
    <w:qFormat/>
    <w:rsid w:val="001C4939"/>
    <w:pPr>
      <w:ind w:left="720"/>
      <w:contextualSpacing/>
    </w:pPr>
  </w:style>
  <w:style w:type="character" w:customStyle="1" w:styleId="Titre5Car">
    <w:name w:val="Titre 5 Car"/>
    <w:basedOn w:val="Policepardfaut"/>
    <w:link w:val="Titre5"/>
    <w:uiPriority w:val="9"/>
    <w:semiHidden/>
    <w:rsid w:val="001C4939"/>
    <w:rPr>
      <w:rFonts w:asciiTheme="majorHAnsi" w:eastAsiaTheme="majorEastAsia" w:hAnsiTheme="majorHAnsi" w:cstheme="majorBidi"/>
      <w:color w:val="243F60" w:themeColor="accent1" w:themeShade="7F"/>
      <w:sz w:val="24"/>
      <w:szCs w:val="24"/>
      <w:lang w:val="de-DE" w:eastAsia="de-DE"/>
    </w:rPr>
  </w:style>
  <w:style w:type="character" w:customStyle="1" w:styleId="Titre6Car">
    <w:name w:val="Titre 6 Car"/>
    <w:basedOn w:val="Policepardfaut"/>
    <w:link w:val="Titre6"/>
    <w:uiPriority w:val="9"/>
    <w:semiHidden/>
    <w:rsid w:val="001C4939"/>
    <w:rPr>
      <w:rFonts w:asciiTheme="majorHAnsi" w:eastAsiaTheme="majorEastAsia" w:hAnsiTheme="majorHAnsi" w:cstheme="majorBidi"/>
      <w:i/>
      <w:iCs/>
      <w:color w:val="243F60" w:themeColor="accent1" w:themeShade="7F"/>
      <w:sz w:val="24"/>
      <w:szCs w:val="24"/>
      <w:lang w:val="de-DE" w:eastAsia="de-DE"/>
    </w:rPr>
  </w:style>
  <w:style w:type="paragraph" w:styleId="Paragraphedeliste">
    <w:name w:val="List Paragraph"/>
    <w:basedOn w:val="Normal"/>
    <w:uiPriority w:val="34"/>
    <w:qFormat/>
    <w:rsid w:val="001C4939"/>
    <w:pPr>
      <w:ind w:left="720"/>
      <w:contextualSpacing/>
    </w:pPr>
  </w:style>
  <w:style w:type="table" w:styleId="Grilledutableau">
    <w:name w:val="Table Grid"/>
    <w:basedOn w:val="TableauNormal"/>
    <w:uiPriority w:val="59"/>
    <w:rsid w:val="00821D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8F0DBD"/>
    <w:rPr>
      <w:rFonts w:ascii="Tahoma" w:hAnsi="Tahoma" w:cs="Tahoma"/>
      <w:sz w:val="16"/>
      <w:szCs w:val="16"/>
    </w:rPr>
  </w:style>
  <w:style w:type="character" w:customStyle="1" w:styleId="TextedebullesCar">
    <w:name w:val="Texte de bulles Car"/>
    <w:basedOn w:val="Policepardfaut"/>
    <w:link w:val="Textedebulles"/>
    <w:uiPriority w:val="99"/>
    <w:semiHidden/>
    <w:rsid w:val="008F0DBD"/>
    <w:rPr>
      <w:rFonts w:ascii="Tahoma" w:hAnsi="Tahoma" w:cs="Tahoma"/>
      <w:sz w:val="16"/>
      <w:szCs w:val="16"/>
      <w:lang w:eastAsia="de-DE"/>
    </w:rPr>
  </w:style>
  <w:style w:type="paragraph" w:styleId="En-tte">
    <w:name w:val="header"/>
    <w:basedOn w:val="Normal"/>
    <w:link w:val="En-tteCar"/>
    <w:uiPriority w:val="99"/>
    <w:semiHidden/>
    <w:unhideWhenUsed/>
    <w:rsid w:val="00B01373"/>
    <w:pPr>
      <w:tabs>
        <w:tab w:val="center" w:pos="4536"/>
        <w:tab w:val="right" w:pos="9072"/>
      </w:tabs>
    </w:pPr>
  </w:style>
  <w:style w:type="character" w:customStyle="1" w:styleId="En-tteCar">
    <w:name w:val="En-tête Car"/>
    <w:basedOn w:val="Policepardfaut"/>
    <w:link w:val="En-tte"/>
    <w:uiPriority w:val="99"/>
    <w:semiHidden/>
    <w:rsid w:val="00B01373"/>
    <w:rPr>
      <w:rFonts w:cs="Lucidasans"/>
      <w:sz w:val="22"/>
      <w:szCs w:val="24"/>
      <w:lang w:eastAsia="de-DE"/>
    </w:rPr>
  </w:style>
  <w:style w:type="paragraph" w:styleId="Pieddepage">
    <w:name w:val="footer"/>
    <w:basedOn w:val="Normal"/>
    <w:link w:val="PieddepageCar"/>
    <w:uiPriority w:val="99"/>
    <w:unhideWhenUsed/>
    <w:rsid w:val="00B01373"/>
    <w:pPr>
      <w:tabs>
        <w:tab w:val="center" w:pos="4536"/>
        <w:tab w:val="right" w:pos="9072"/>
      </w:tabs>
    </w:pPr>
  </w:style>
  <w:style w:type="character" w:customStyle="1" w:styleId="PieddepageCar">
    <w:name w:val="Pied de page Car"/>
    <w:basedOn w:val="Policepardfaut"/>
    <w:link w:val="Pieddepage"/>
    <w:uiPriority w:val="99"/>
    <w:rsid w:val="00B01373"/>
    <w:rPr>
      <w:rFonts w:cs="Lucidasans"/>
      <w:sz w:val="22"/>
      <w:szCs w:val="24"/>
      <w:lang w:eastAsia="de-DE"/>
    </w:rPr>
  </w:style>
  <w:style w:type="paragraph" w:customStyle="1" w:styleId="WI-40">
    <w:name w:val="WI-40"/>
    <w:basedOn w:val="Normal"/>
    <w:uiPriority w:val="99"/>
    <w:rsid w:val="00F404DF"/>
    <w:pPr>
      <w:tabs>
        <w:tab w:val="left" w:pos="1134"/>
        <w:tab w:val="left" w:pos="2268"/>
        <w:tab w:val="left" w:pos="3402"/>
        <w:tab w:val="left" w:pos="4536"/>
        <w:tab w:val="left" w:pos="5670"/>
        <w:tab w:val="left" w:pos="6804"/>
      </w:tabs>
      <w:autoSpaceDE w:val="0"/>
      <w:autoSpaceDN w:val="0"/>
      <w:spacing w:before="85"/>
      <w:jc w:val="both"/>
    </w:pPr>
    <w:rPr>
      <w:rFonts w:ascii="Times" w:hAnsi="Times" w:cs="Times"/>
      <w:noProof/>
      <w:color w:val="000000"/>
      <w:sz w:val="18"/>
      <w:szCs w:val="18"/>
      <w:lang w:val="en-US" w:eastAsia="de-CH"/>
    </w:rPr>
  </w:style>
  <w:style w:type="paragraph" w:customStyle="1" w:styleId="Default">
    <w:name w:val="Default"/>
    <w:rsid w:val="005C3F26"/>
    <w:pPr>
      <w:autoSpaceDE w:val="0"/>
      <w:autoSpaceDN w:val="0"/>
      <w:adjustRightInd w:val="0"/>
    </w:pPr>
    <w:rPr>
      <w:rFonts w:ascii="Verdana" w:hAnsi="Verdana" w:cs="Verdana"/>
      <w:color w:val="000000"/>
      <w:sz w:val="24"/>
      <w:szCs w:val="24"/>
    </w:rPr>
  </w:style>
  <w:style w:type="paragraph" w:customStyle="1" w:styleId="Sidenote">
    <w:name w:val="Sidenote"/>
    <w:basedOn w:val="Normal"/>
    <w:next w:val="Normal"/>
    <w:rsid w:val="00753C1E"/>
    <w:pPr>
      <w:keepNext/>
      <w:framePr w:hSpace="142" w:vSpace="142" w:wrap="around" w:vAnchor="text" w:hAnchor="page" w:xAlign="outside" w:y="1"/>
      <w:spacing w:line="360" w:lineRule="auto"/>
      <w:jc w:val="both"/>
    </w:pPr>
    <w:rPr>
      <w:rFonts w:cs="Times New Roman"/>
      <w:kern w:val="12"/>
      <w:sz w:val="24"/>
      <w:szCs w:val="20"/>
      <w:lang w:val="de-DE"/>
    </w:rPr>
  </w:style>
  <w:style w:type="paragraph" w:customStyle="1" w:styleId="Intro">
    <w:name w:val="Intro"/>
    <w:basedOn w:val="Normal"/>
    <w:rsid w:val="00753C1E"/>
    <w:pPr>
      <w:spacing w:line="360" w:lineRule="auto"/>
      <w:jc w:val="both"/>
    </w:pPr>
    <w:rPr>
      <w:rFonts w:cs="Times New Roman"/>
      <w:kern w:val="12"/>
      <w:sz w:val="24"/>
      <w:szCs w:val="20"/>
      <w:lang w:val="de-DE"/>
    </w:rPr>
  </w:style>
  <w:style w:type="paragraph" w:styleId="Rvision">
    <w:name w:val="Revision"/>
    <w:hidden/>
    <w:uiPriority w:val="99"/>
    <w:semiHidden/>
    <w:rsid w:val="002B0750"/>
    <w:rPr>
      <w:rFonts w:cs="Lucidasans"/>
      <w:sz w:val="22"/>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03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C32D6-5AAB-436D-8D77-EC7FAE7DA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1572</TotalTime>
  <Pages>3</Pages>
  <Words>1457</Words>
  <Characters>8015</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Bucher</dc:creator>
  <cp:lastModifiedBy>Andreas Bucher</cp:lastModifiedBy>
  <cp:revision>111</cp:revision>
  <cp:lastPrinted>2026-05-16T10:33:00Z</cp:lastPrinted>
  <dcterms:created xsi:type="dcterms:W3CDTF">2015-04-13T13:20:00Z</dcterms:created>
  <dcterms:modified xsi:type="dcterms:W3CDTF">2026-09-09T09:39:00Z</dcterms:modified>
</cp:coreProperties>
</file>